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64.png" ContentType="image/png"/>
  <Override PartName="/word/media/rId45.png" ContentType="image/png"/>
  <Override PartName="/word/media/rId39.png" ContentType="image/png"/>
  <Override PartName="/word/media/rId32.png" ContentType="image/png"/>
  <Override PartName="/word/media/rId50.png" ContentType="image/png"/>
  <Override PartName="/word/media/rId55.png" ContentType="image/png"/>
  <Override PartName="/word/media/rId5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occurs in tropical, subtropical, temperate and arctic zones, with long-term scenarios forecasting range expansions of</w:t>
      </w:r>
      <w:r>
        <w:t xml:space="preserve"> </w:t>
      </w:r>
      <w:r>
        <w:rPr>
          <w:iCs/>
          <w:i/>
        </w:rPr>
        <w:t xml:space="preserve">Synechococcus</w:t>
      </w:r>
      <w:r>
        <w:t xml:space="preserve"> </w:t>
      </w:r>
      <w:r>
        <w:t xml:space="preserve">sp.</w:t>
      </w:r>
    </w:p>
    <w:p>
      <w:pPr>
        <w:pStyle w:val="BodyText"/>
      </w:pPr>
      <w:r>
        <w:t xml:space="preserve">Our study demonstrated that cumulative diel Photosynthetically Active Radiation (PAR) and Photosynthetically Usable Radiation (PUR) consistently explain achieved growth rates (µ) of two PhycoCyanin(PC)-rich and two PhycoErythrin(PE)-rich strains of</w:t>
      </w:r>
      <w:r>
        <w:t xml:space="preserve"> </w:t>
      </w:r>
      <w:r>
        <w:rPr>
          <w:iCs/>
          <w:i/>
        </w:rPr>
        <w:t xml:space="preserve">Synechococcus</w:t>
      </w:r>
      <w:r>
        <w:t xml:space="preserve">, across a matrix of 4 photoperiods and 6 peak PAR. Growth responses to cumulative diel PAR and PUR, depending upon photoperiod and peak PAR varied across the strains. All the strains were generally opportunistic in exploiting higher light diel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PUR/PAR ratio across cumulative diel PAR. The PE-rich strains showed a much higher PUR/PAR ratio under low cumulative diel PAR, but decay reached a plateau close to the PC-rich strains as cumulative diel PAR increased. The</w:t>
      </w:r>
      <w:r>
        <w:t xml:space="preserve"> </w:t>
      </w:r>
      <m:oMath>
        <m:r>
          <m:t>σ</m:t>
        </m:r>
      </m:oMath>
      <w:r>
        <w:rPr>
          <w:vertAlign w:val="subscript"/>
        </w:rPr>
        <w:t xml:space="preserve">PSII</w:t>
      </w:r>
      <w:r>
        <w:t xml:space="preserve">′ showed a consistent, sharp exponential decay in relation to cumulative diel PAR,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PAR than the PC-rich strains even as cumulative diel PAR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saturated under increasing PSII electron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all strains; however, the achieved estimates of µ</w:t>
      </w:r>
      <w:r>
        <w:rPr>
          <w:vertAlign w:val="subscript"/>
        </w:rPr>
        <w:t xml:space="preserve">max</w:t>
      </w:r>
      <w:r>
        <w:t xml:space="preserve"> </w:t>
      </w:r>
      <w:r>
        <w:t xml:space="preserve">varied depending upon peak diel PAR.</w:t>
      </w:r>
    </w:p>
    <w:p>
      <w:pPr>
        <w:pStyle w:val="BodyText"/>
      </w:pPr>
      <w:r>
        <w:t xml:space="preserve">Our results show the PE-rich strains are stronger light-harvesting competitors however, the PC-rich strains may have lower N-quotients for their light capture system. These differences help explain the differential seasonal prevalence of PE-rich and PC-rich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bookmarkEnd w:id="21"/>
    <w:bookmarkStart w:id="22" w:name="introduction"/>
    <w:p>
      <w:pPr>
        <w:pStyle w:val="Heading1"/>
      </w:pPr>
      <w:r>
        <w:t xml:space="preserve">Introduction</w:t>
      </w:r>
    </w:p>
    <w:p>
      <w:pPr>
        <w:pStyle w:val="FirstParagraph"/>
      </w:pPr>
      <w:r>
        <w:t xml:space="preserve">The photic regime, comprised of Photosynthetically Active Radiation (PAR), photoperiod, and spectral quality, is a pivotal influence on the growth and productivity of phytoplankton within aquatic ecosystems. PAR refers to the spectral range of solar radiation, approximately 400-700 nm, that is capable of driving photosynthesis. Photosynthetically Usable Radiation (PUR), in turn, is the fraction of PAR of wavelengths that can be absorbed by particularly cyanobacteria or algae</w:t>
      </w:r>
      <w:r>
        <w:t xml:space="preserve"> </w:t>
      </w:r>
      <w:r>
        <w:t xml:space="preserve">(Morel 1978)</w:t>
      </w:r>
      <w:r>
        <w:t xml:space="preserve">. The PAR reaching a specific area, directly affects the physiology of cyanobacteria</w:t>
      </w:r>
      <w:r>
        <w:t xml:space="preserve"> </w:t>
      </w:r>
      <w:r>
        <w:t xml:space="preserve">(Śliwińska-Wilczewska et al. 2018, 2020; Aguilera et al. 2023)</w:t>
      </w:r>
      <w:r>
        <w:t xml:space="preserve">. Optimal PAR provide the energy for photosynthesis, and thus supports cyanobacteria growth and biomass production. The availability and distribution of PAR in aquatic ecosystems are influenced by cloud cover, water depth, and light attenuation due to water turbidity and suspended particles, including phytoplankton cells</w:t>
      </w:r>
      <w:r>
        <w:t xml:space="preserve"> </w:t>
      </w:r>
      <w:r>
        <w:t xml:space="preserve">(Kirk 1983; Field et al. 1998; Torremorell et al. 2009)</w:t>
      </w:r>
      <w:r>
        <w:t xml:space="preserve">. Cyanobacteria are also sensitive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There is a clear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or light, or by accumulation of inhibitory factors, algae enter the stationary phase, characterized by a balance between cell division and death, leading to a plateau in population. The death phase occurs when cyanobacteria cell death outruns division, leading to decomposition, contributing to nutrient recycling in aquatic ecosystems</w:t>
      </w:r>
      <w:r>
        <w:t xml:space="preserve"> </w:t>
      </w:r>
      <w:r>
        <w:t xml:space="preserve">(Reynolds 2006)</w:t>
      </w:r>
      <w:r>
        <w:t xml:space="preserve">. Cell death may also release toxins into the environment. Understanding the temporal progression of growth phases is thus essential for predicting cyanobacterial activity in a habitat, and their impact on ecosystem dynamics over time.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ocean colour,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lower-light conditions, primarily inhabiting the deeper layers of the water column where green light prevails.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 Synechococcus biomass and community lineage composition within aquatic environments, relating to varying metabolic costs between physiological strategies. Therefore, the aim of this research was to determine whether photic regimes and growth phases affect both growth and light-capture, and to quantify the differences between PC-rich and PE-rich</w:t>
      </w:r>
      <w:r>
        <w:t xml:space="preserve"> </w:t>
      </w:r>
      <w:r>
        <w:rPr>
          <w:iCs/>
          <w:i/>
        </w:rPr>
        <w:t xml:space="preserve">Synechococcus</w:t>
      </w:r>
      <w:r>
        <w:t xml:space="preserve"> </w:t>
      </w:r>
      <w:r>
        <w:t xml:space="preserve">sp.</w:t>
      </w:r>
    </w:p>
    <w:bookmarkEnd w:id="22"/>
    <w:bookmarkStart w:id="44"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and the first photoperiods followed in the morning so that peak PAR occurs around noon each day.</w:t>
      </w:r>
    </w:p>
    <w:p>
      <w:pPr>
        <w:pStyle w:val="BodyText"/>
      </w:pPr>
      <w:r>
        <w:t xml:space="preserve">Cultures grew at 22℃, with photoperiods of 8, 12, 16, or 24 h, with peak PAR of 30, 90, 180, 300, 600, or 900 µµmol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 24 h square photoperiod cultures received 4 times the diel photon dose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8-9. Light, temperature, optical density, and aeration gas of the Multi-Cultivator system were monitored and controlled via the Photobioreactor Control Software (Photon Systems Instruments, Drásov, Czech Republic).</w:t>
      </w:r>
    </w:p>
    <w:bookmarkEnd w:id="24"/>
    <w:bookmarkStart w:id="29"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 The exponential chlorophyll specific exponential growth rates (µ) were determined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ImageXpress Pico Digital microscopy equipped with CMOS camera and LED+ image autofocus (ImageXpress Pico Automated Cell Imaging System, Molecular Devices, LLC., CA, USA). The samples were preserved with 4% glutaraldehyde and kept in a -80°C until the measurements. Samples (V = 10 µL) were transferred to Tissue Culture (TC)-treated surface, flat bottom black 96-well plates (Corning® Falcon® Microplate, MilliporeSigma, Merck, Darmstadt, Germany) contained 200 µL of f/2 media and centrifuged. Cells were imaged with the Cy5 channels using selectable confocal geometries, which allow to distinguish cyanobacterial cells from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p>
    <w:p>
      <w:pPr>
        <w:pStyle w:val="BodyText"/>
      </w:pPr>
      <w:r>
        <w:t xml:space="preserve">We also estimated the number of picocyanobacterial cells over time using linear regression models based on the number of cells (cell mL</w:t>
      </w:r>
      <w:r>
        <w:rPr>
          <w:vertAlign w:val="superscript"/>
        </w:rPr>
        <w:t xml:space="preserve">−1</w:t>
      </w:r>
      <w:r>
        <w:t xml:space="preserve">), counted using ImageXpress Pico Digital microscopy and OD</w:t>
      </w:r>
      <w:r>
        <w:rPr>
          <w:vertAlign w:val="subscript"/>
        </w:rPr>
        <w:t xml:space="preserve">720</w:t>
      </w:r>
      <w:r>
        <w:t xml:space="preserve"> </w:t>
      </w:r>
      <w:r>
        <w:t xml:space="preserve">taken from the Multi-Cultivator system at the same time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green area for the PC-rich strain and a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Similarly, cumulative diel PUR was estimated using the same equations.</w:t>
      </w:r>
    </w:p>
    <w:bookmarkEnd w:id="37"/>
    <w:bookmarkStart w:id="38"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concentration of Chl</w:t>
      </w:r>
      <w:r>
        <w:t xml:space="preserve"> </w:t>
      </w:r>
      <w:r>
        <w:rPr>
          <w:iCs/>
          <w:i/>
        </w:rPr>
        <w:t xml:space="preserve">a</w:t>
      </w:r>
      <w:r>
        <w:t xml:space="preserve"> </w:t>
      </w:r>
      <w:r>
        <w:t xml:space="preserve">in a 90% acetone solution (SKU: 10-850).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r>
        <w:t xml:space="preserve">We also estimated 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S2,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2"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(σPSII or σPSII′; nm2 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w:r>
        <w:rPr>
          <w:iCs/>
          <w:i/>
        </w:rPr>
        <w:t xml:space="preserve">JV</w:t>
      </w:r>
      <w:r>
        <w:rPr>
          <w:vertAlign w:val="subscript"/>
        </w:rPr>
        <w:t xml:space="preserve">PSII</w:t>
      </w:r>
      <w:r>
        <w:t xml:space="preserve"> </w:t>
      </w:r>
      <w:r>
        <w:t xml:space="preserve">=</w:t>
      </w:r>
      <w:r>
        <w:t xml:space="preserve"> </w:t>
      </w:r>
      <m:oMath>
        <m:r>
          <m:t>σ</m:t>
        </m:r>
      </m:oMath>
      <w:r>
        <w:rPr>
          <w:vertAlign w:val="subscript"/>
        </w:rPr>
        <w:t xml:space="preserve">PSII</w:t>
      </w:r>
      <w:r>
        <w:t xml:space="preserve">′ × qP × I ×</w:t>
      </w:r>
      <w:r>
        <w:t xml:space="preserve"> </w:t>
      </w:r>
      <w:r>
        <w:rPr>
          <w:iCs/>
          <w:i/>
        </w:rPr>
        <w:t xml:space="preserve">F</w:t>
      </w:r>
      <w:r>
        <w:rPr>
          <w:vertAlign w:val="subscript"/>
        </w:rPr>
        <w:t xml:space="preserve">O</w:t>
      </w:r>
      <w:r>
        <w:t xml:space="preserve">/</w:t>
      </w:r>
      <m:oMath>
        <m:r>
          <m:t>σ</m:t>
        </m:r>
      </m:oMath>
      <w:r>
        <w:rPr>
          <w:vertAlign w:val="subscript"/>
        </w:rPr>
        <w:t xml:space="preserve">PSII</w:t>
      </w:r>
    </w:p>
    <w:p>
      <w:pPr>
        <w:pStyle w:val="BodyText"/>
      </w:pPr>
      <m:oMathPara>
        <m:oMathParaPr>
          <m:jc m:val="center"/>
        </m:oMathParaPr>
        <m:oMath>
          <m:m>
            <m:mPr>
              <m:baseJc m:val="center"/>
              <m:plcHide m:val="1"/>
              <m:mcs>
                <m:mc>
                  <m:mcPr>
                    <m:mcJc m:val="right"/>
                    <m:count m:val="1"/>
                  </m:mcPr>
                </m:mc>
              </m:mcs>
            </m:mPr>
            <m:mr>
              <m:e>
                <m:r>
                  <m:t>J</m:t>
                </m:r>
                <m:sSub>
                  <m:e>
                    <m:r>
                      <m:t>V</m:t>
                    </m:r>
                  </m:e>
                  <m:sub>
                    <m:d>
                      <m:dPr>
                        <m:begChr m:val="("/>
                        <m:endChr m:val=")"/>
                        <m:sepChr m:val=""/>
                        <m:grow/>
                      </m:dPr>
                      <m:e>
                        <m:r>
                          <m:t>P</m:t>
                        </m:r>
                        <m:r>
                          <m:t>S</m:t>
                        </m:r>
                        <m:r>
                          <m:t>I</m:t>
                        </m:r>
                        <m:r>
                          <m:t>I</m:t>
                        </m:r>
                      </m:e>
                    </m:d>
                  </m:sub>
                </m:sSub>
                <m:r>
                  <m:rPr>
                    <m:sty m:val="p"/>
                  </m:rPr>
                  <m:t>=</m:t>
                </m:r>
                <m:f>
                  <m:fPr>
                    <m:type m:val="bar"/>
                  </m:fPr>
                  <m:num>
                    <m:sSub>
                      <m:e>
                        <m:r>
                          <m:t>σ</m:t>
                        </m:r>
                      </m:e>
                      <m:sub>
                        <m:d>
                          <m:dPr>
                            <m:begChr m:val="("/>
                            <m:endChr m:val=")"/>
                            <m:sepChr m:val=""/>
                            <m:grow/>
                          </m:dPr>
                          <m:e>
                            <m:r>
                              <m:t>P</m:t>
                            </m:r>
                            <m:r>
                              <m:t>S</m:t>
                            </m:r>
                            <m:r>
                              <m:t>I</m:t>
                            </m:r>
                            <m:r>
                              <m:t>I</m:t>
                            </m:r>
                          </m:e>
                        </m:d>
                      </m:sub>
                    </m:sSub>
                    <m:r>
                      <m:rPr>
                        <m:sty m:val="p"/>
                      </m:rPr>
                      <m:t>′</m:t>
                    </m:r>
                    <m:r>
                      <m:rPr>
                        <m:sty m:val="p"/>
                      </m:rPr>
                      <m:t>×</m:t>
                    </m:r>
                    <m:r>
                      <m:t>q</m:t>
                    </m:r>
                    <m:r>
                      <m:t>P</m:t>
                    </m:r>
                    <m:r>
                      <m:rPr>
                        <m:sty m:val="p"/>
                      </m:rPr>
                      <m:t>×</m:t>
                    </m:r>
                    <m:r>
                      <m:t>I</m:t>
                    </m:r>
                    <m:r>
                      <m:rPr>
                        <m:sty m:val="p"/>
                      </m:rPr>
                      <m:t>×</m:t>
                    </m:r>
                    <m:sSub>
                      <m:e>
                        <m:r>
                          <m:t>F</m:t>
                        </m:r>
                      </m:e>
                      <m:sub>
                        <m:r>
                          <m:t>O</m:t>
                        </m:r>
                      </m:sub>
                    </m:sSub>
                  </m:num>
                  <m:den>
                    <m:sSub>
                      <m:e>
                        <m:r>
                          <m:t>σ</m:t>
                        </m:r>
                      </m:e>
                      <m:sub>
                        <m:d>
                          <m:dPr>
                            <m:begChr m:val="("/>
                            <m:endChr m:val=")"/>
                            <m:sepChr m:val=""/>
                            <m:grow/>
                          </m:dPr>
                          <m:e>
                            <m:r>
                              <m:t>P</m:t>
                            </m:r>
                            <m:r>
                              <m:t>S</m:t>
                            </m:r>
                            <m:r>
                              <m:t>I</m:t>
                            </m:r>
                            <m:r>
                              <m:t>I</m:t>
                            </m:r>
                          </m:e>
                        </m:d>
                      </m:sub>
                    </m:sSub>
                  </m:den>
                </m:f>
                <m:r>
                  <m:t>  </m:t>
                </m:r>
                <m:d>
                  <m:dPr>
                    <m:begChr m:val="("/>
                    <m:endChr m:val=")"/>
                    <m:sepChr m:val=""/>
                    <m:grow/>
                  </m:dPr>
                  <m:e>
                    <m:r>
                      <m:t>4</m:t>
                    </m:r>
                  </m:e>
                </m:d>
              </m:e>
            </m:mr>
          </m:m>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below light saturation, captured using a FireSting robust oxygen probe (PyroScience, Germany) inserted in the cuvette for some RLC runs.</w:t>
      </w:r>
    </w:p>
    <w:p>
      <w:pPr>
        <w:pStyle w:val="BodyText"/>
      </w:pPr>
      <w:r>
        <w:drawing>
          <wp:inline>
            <wp:extent cx="5943600" cy="7641771"/>
            <wp:effectExtent b="0" l="0" r="0" t="0"/>
            <wp:docPr descr="Figure 3: Single turnover (ST) fluorescence induction by Fast Repetition Rate fluorometry (FRRf). Examples of fluorescence yield vs. elapsed time (µs) are shown for PE-rich culture of Synechococcus sp. (048) in the dark (dark-adapted; 0 µmol photons m−2s−1) and under actinic PAR (in this example 80 µmol photons m−2s−1) measured using blue LED (Ex445nm) or orange (Ex590nm) excitation (A). The ST technique delivers a series of flashlets for non-intrusive, repeated monitoring of chlorophyll fluorescence parameters (including FO, F′, FM, FM′, τ1-τ3, τ1′-τ3′, σPSII, and σPSII′). Bottom panel shows a rapid light curve (RLC), estimated with with a three parameter model (Harrison and Platt 1986), for PSII electron flux (JVPSII; e−L−1s−1) vs. actinic PAR measured under blue LED (Ex445nm) or orange (Ex590nm) excitation (B)."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7641771"/>
                    </a:xfrm>
                    <a:prstGeom prst="rect">
                      <a:avLst/>
                    </a:prstGeom>
                    <a:noFill/>
                    <a:ln w="9525">
                      <a:noFill/>
                      <a:headEnd/>
                      <a:tailEnd/>
                    </a:ln>
                  </pic:spPr>
                </pic:pic>
              </a:graphicData>
            </a:graphic>
          </wp:inline>
        </w:drawing>
      </w:r>
      <w:r>
        <w:t xml:space="preserve"> </w:t>
      </w:r>
      <w:r>
        <w:t xml:space="preserve">## Genomic Analyses {.unnumbered}</w:t>
      </w:r>
      <w:r>
        <w:t xml:space="preserve"> </w:t>
      </w:r>
      <w:r>
        <w:t xml:space="preserve">xxx</w:t>
      </w:r>
    </w:p>
    <w:bookmarkEnd w:id="42"/>
    <w:bookmarkStart w:id="43"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(y0, the starting value; yf, the value at infinite times; λ, exponential decay constant)</w:t>
      </w:r>
      <w:r>
        <w:t xml:space="preserve"> </w:t>
      </w:r>
      <w:r>
        <w:t xml:space="preserve">(Serway et al. 2004)</w:t>
      </w:r>
      <w:r>
        <w:t xml:space="preserve">. A modified Levenberg-Marquardt fitting algorithm</w:t>
      </w:r>
      <w:r>
        <w:t xml:space="preserve"> </w:t>
      </w:r>
      <w:r>
        <w:t xml:space="preserve">(Elzhov et al. 2023)</w:t>
      </w:r>
      <w:r>
        <w:t xml:space="preserve"> </w:t>
      </w:r>
      <w:r>
        <w:t xml:space="preserve">was used for estimating logistic fits of chlorophyll proxy OD680 – OD720 vs. elapsed time for each combination of strain, photoperiod, and peak PAR.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Linear regressions were used to calculate the number of cells (cell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and cumulative diel PAR (Table S3, Sxxx), PUR/PAR ratio vs. cumulative diel PAR (Table S6), Phycobiliprotein to Chl</w:t>
      </w:r>
      <w:r>
        <w:t xml:space="preserve"> </w:t>
      </w:r>
      <w:r>
        <w:rPr>
          <w:iCs/>
          <w:i/>
        </w:rPr>
        <w:t xml:space="preserve">a</w:t>
      </w:r>
      <w:r>
        <w:t xml:space="preserve"> </w:t>
      </w:r>
      <w:r>
        <w:t xml:space="preserve">ratio vs. cumulative diel PAR (Table S8),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or under Ex</w:t>
      </w:r>
      <w:r>
        <w:rPr>
          <w:vertAlign w:val="subscript"/>
        </w:rPr>
        <w:t xml:space="preserve">590nm</w:t>
      </w:r>
      <w:r>
        <w:t xml:space="preserve"> </w:t>
      </w:r>
      <w:r>
        <w:t xml:space="preserve">(orange) excitation in relation to the cumulative diel PAR or in relation to the Phycobiliprotein to Chl</w:t>
      </w:r>
      <w:r>
        <w:t xml:space="preserve"> </w:t>
      </w:r>
      <w:r>
        <w:rPr>
          <w:iCs/>
          <w:i/>
        </w:rPr>
        <w:t xml:space="preserve">a</w:t>
      </w:r>
      <w:r>
        <w:t xml:space="preserve"> </w:t>
      </w:r>
      <w:r>
        <w:t xml:space="preserve">ratio (Table S10, S12, S14, S16 in Supplemental material). We also run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PSII electron flux (</w:t>
      </w:r>
      <w:r>
        <w:rPr>
          <w:iCs/>
          <w:i/>
        </w:rPr>
        <w:t xml:space="preserve">JV</w:t>
      </w:r>
      <w:r>
        <w:rPr>
          <w:vertAlign w:val="subscript"/>
        </w:rPr>
        <w:t xml:space="preserve">PSII</w:t>
      </w:r>
      <w:r>
        <w:t xml:space="preserve">; e</w:t>
      </w:r>
      <w:r>
        <w:rPr>
          <w:vertAlign w:val="superscript"/>
        </w:rPr>
        <w:t xml:space="preserve">−</w:t>
      </w:r>
      <w:r>
        <w:t xml:space="preserve">L</w:t>
      </w:r>
      <w:r>
        <w:rPr>
          <w:vertAlign w:val="superscript"/>
        </w:rPr>
        <w:t xml:space="preserve">−1</w:t>
      </w:r>
      <w:r>
        <w:t xml:space="preserve">s</w:t>
      </w:r>
      <w:r>
        <w:rPr>
          <w:vertAlign w:val="superscript"/>
        </w:rPr>
        <w:t xml:space="preserve">−1</w:t>
      </w:r>
      <w:r>
        <w:t xml:space="preserve">) (Table Sxxx).</w:t>
      </w:r>
    </w:p>
    <w:p>
      <w:pPr>
        <w:pStyle w:val="BodyText"/>
      </w:pPr>
      <w:r>
        <w:t xml:space="preserve">To examine statistical differences between models, we performed one-way ANOVA of a three parameter model</w:t>
      </w:r>
      <w:r>
        <w:t xml:space="preserve"> </w:t>
      </w:r>
      <w:r>
        <w:t xml:space="preserve">(Harrison and Platt 1986)</w:t>
      </w:r>
      <w:r>
        <w:t xml:space="preserve"> </w:t>
      </w:r>
      <w:r>
        <w:t xml:space="preserve">from pooled data and data fit across different photoperiods (8, 12, 16, or 24) or data fit across different peak PAR (30, 90, 180, 300, 600 together with 900) from chlorophyll specific exponential growth rate vs. cumulative diel PUR or vs. PSII electron flux (</w:t>
      </w:r>
      <w:r>
        <w:rPr>
          <w:iCs/>
          <w:i/>
        </w:rPr>
        <w:t xml:space="preserve">JV</w:t>
      </w:r>
      <w:r>
        <w:rPr>
          <w:vertAlign w:val="subscript"/>
        </w:rPr>
        <w:t xml:space="preserve">PSII</w:t>
      </w:r>
      <w:r>
        <w:t xml:space="preserve">; e</w:t>
      </w:r>
      <w:r>
        <w:rPr>
          <w:vertAlign w:val="superscript"/>
        </w:rPr>
        <w:t xml:space="preserve">−</w:t>
      </w:r>
      <w:r>
        <w:t xml:space="preserve">L</w:t>
      </w:r>
      <w:r>
        <w:rPr>
          <w:vertAlign w:val="superscript"/>
        </w:rPr>
        <w:t xml:space="preserve">−1</w:t>
      </w:r>
      <w:r>
        <w:t xml:space="preserve">s</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(Table Sxxx), Phycobiliprotein to Chl</w:t>
      </w:r>
      <w:r>
        <w:t xml:space="preserve"> </w:t>
      </w:r>
      <w:r>
        <w:rPr>
          <w:iCs/>
          <w:i/>
        </w:rPr>
        <w:t xml:space="preserve">a</w:t>
      </w:r>
      <w:r>
        <w:t xml:space="preserve"> </w:t>
      </w:r>
      <w:r>
        <w:t xml:space="preserve">ratio (Table Sxxx),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PAR (µmol photons m</w:t>
      </w:r>
      <w:r>
        <w:rPr>
          <w:vertAlign w:val="superscript"/>
        </w:rPr>
        <w:t xml:space="preserve">−2</w:t>
      </w:r>
      <w:r>
        <w:t xml:space="preserve">d</w:t>
      </w:r>
      <w:r>
        <w:rPr>
          <w:vertAlign w:val="superscript"/>
        </w:rPr>
        <w:t xml:space="preserve">−1</w:t>
      </w:r>
      <w:r>
        <w:t xml:space="preserve">) or in relation to the Phycobiliprotein to 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Phycobiliprotein to 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 R package</w:t>
      </w:r>
      <w:r>
        <w:t xml:space="preserve"> </w:t>
      </w:r>
      <w:r>
        <w:t xml:space="preserve">(Wickham 2016)</w:t>
      </w:r>
      <w:r>
        <w:t xml:space="preserve">.</w:t>
      </w:r>
    </w:p>
    <w:bookmarkEnd w:id="43"/>
    <w:bookmarkEnd w:id="44"/>
    <w:bookmarkStart w:id="69" w:name="results"/>
    <w:p>
      <w:pPr>
        <w:pStyle w:val="Heading1"/>
      </w:pPr>
      <w:r>
        <w:t xml:space="preserve">Results</w:t>
      </w:r>
    </w:p>
    <w:bookmarkStart w:id="49" w:name="X3c4de26526443418ca9ef70653fbb6a4bace88d"/>
    <w:p>
      <w:pPr>
        <w:pStyle w:val="Heading2"/>
      </w:pPr>
      <w:r>
        <w:t xml:space="preserve">Changes in chlorophyll-specific exponential growth rate</w:t>
      </w:r>
    </w:p>
    <w:p>
      <w:pPr>
        <w:pStyle w:val="FirstParagraph"/>
      </w:pPr>
      <w:r>
        <w:t xml:space="preserve">We used logistic curve fits to determine chlorophyll-specific exponential growth rates (μ; d</w:t>
      </w:r>
      <w:r>
        <w:rPr>
          <w:vertAlign w:val="superscript"/>
        </w:rPr>
        <w:t xml:space="preserve">−1</w:t>
      </w:r>
      <w:r>
        <w:t xml:space="preserve">) vs. cumulative diel photon dose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4</w:t>
      </w:r>
      <w:r>
        <w:t xml:space="preserve">).</w:t>
      </w:r>
    </w:p>
    <w:p>
      <w:pPr>
        <w:pStyle w:val="BodyText"/>
      </w:pPr>
      <w:r>
        <w:t xml:space="preserve">Three-way factorial ANOVA showed that peak PAR, photoperiod, and strain, and their interactions, significantly affected μ (ANOVA,</w:t>
      </w:r>
      <w:r>
        <w:t xml:space="preserve"> </w:t>
      </w:r>
      <w:r>
        <w:rPr>
          <w:iCs/>
          <w:i/>
        </w:rPr>
        <w:t xml:space="preserve">p</w:t>
      </w:r>
      <w:r>
        <w:t xml:space="preserve"> </w:t>
      </w:r>
      <w:r>
        <w:t xml:space="preserve">&lt; 0.05 for all; Table S3).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A three parameter model fit of</w:t>
      </w:r>
      <w:r>
        <w:t xml:space="preserve"> </w:t>
      </w:r>
      <w:r>
        <w:t xml:space="preserve">(Harrison and Platt 1986)</w:t>
      </w:r>
      <w:r>
        <w:t xml:space="preserve"> </w:t>
      </w:r>
      <w:r>
        <w:t xml:space="preserve">vs. cumulative diel photon dose for two PC-rich and two PE-rich cultures of</w:t>
      </w:r>
      <w:r>
        <w:t xml:space="preserve"> </w:t>
      </w:r>
      <w:r>
        <w:rPr>
          <w:iCs/>
          <w:i/>
        </w:rPr>
        <w:t xml:space="preserve">Synechococcus</w:t>
      </w:r>
      <w:r>
        <w:t xml:space="preserve"> </w:t>
      </w:r>
      <w:r>
        <w:t xml:space="preserve">sp. showed significant differences between model fits of the pooled data, vs. models fit for different photoperiods (8, 12, 16, or 24 h; ANOVA,</w:t>
      </w:r>
      <w:r>
        <w:t xml:space="preserve"> </w:t>
      </w:r>
      <w:r>
        <w:rPr>
          <w:iCs/>
          <w:i/>
        </w:rPr>
        <w:t xml:space="preserve">p</w:t>
      </w:r>
      <w:r>
        <w:t xml:space="preserve"> </w:t>
      </w:r>
      <w:r>
        <w:t xml:space="preserve">&lt; 0.05, Table S4 in Supplemental material).</w:t>
      </w:r>
    </w:p>
    <w:p>
      <w:pPr>
        <w:pStyle w:val="BodyText"/>
      </w:pPr>
      <w:r>
        <w:t xml:space="preserve">Strains also showed distinct growth responses to cumulative diel photon dose, depending upon peak PAR. In supplemental data (Fig. S5), strains generally showed peak-PAR specific responses to cumulative diel photon dose,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photon dose are only achieved under the 600 or 900 µµmol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6" name="Picture"/>
            <a:graphic>
              <a:graphicData uri="http://schemas.openxmlformats.org/drawingml/2006/picture">
                <pic:pic>
                  <pic:nvPicPr>
                    <pic:cNvPr descr="../Output/Figures/Fig_GrowthRate_Photoperiod_PUR.png" id="47" name="Picture"/>
                    <pic:cNvPicPr>
                      <a:picLocks noChangeArrowheads="1" noChangeAspect="1"/>
                    </pic:cNvPicPr>
                  </pic:nvPicPr>
                  <pic:blipFill>
                    <a:blip r:embed="rId4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8" w:name="fig:GrowthRatePhotoperiodPUR"/>
      <w:bookmarkEnd w:id="48"/>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bookmarkEnd w:id="49"/>
    <w:bookmarkStart w:id="54" w:name="X4ef586583a04648116dc5cdbee1ab45f97c81e0"/>
    <w:p>
      <w:pPr>
        <w:pStyle w:val="Heading2"/>
      </w:pPr>
      <w:r>
        <w:t xml:space="preserve">Decreasing PUR/PAR ratio and Phycobiliprotein to Chl a ratio with increasing cumulative diel PAR</w:t>
      </w:r>
    </w:p>
    <w:p>
      <w:pPr>
        <w:pStyle w:val="FirstParagraph"/>
      </w:pPr>
      <w:r>
        <w:t xml:space="preserve">The PUR/PAR ratio is an index of the efficacy of light capture for a culture under a given growth condition; showing the fraction of PAR captured by the absorbance of the cells (Fig.</w:t>
      </w:r>
      <w:r>
        <w:t xml:space="preserve"> </w:t>
      </w:r>
      <w:r>
        <w:t xml:space="preserve">5</w:t>
      </w:r>
      <w:r>
        <w:t xml:space="preserve">). For the two PC-rich and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Table S7), except the model fits from PE-rich_048 and PE-rich_127 (ANOVA,</w:t>
      </w:r>
      <w:r>
        <w:t xml:space="preserve"> </w:t>
      </w:r>
      <w:r>
        <w:rPr>
          <w:iCs/>
          <w:i/>
        </w:rPr>
        <w:t xml:space="preserve">p</w:t>
      </w:r>
      <w:r>
        <w:t xml:space="preserve"> </w:t>
      </w:r>
      <w:r>
        <w:t xml:space="preserve">&gt; 0.05). Moreover, the PUR/PAR ratio was significantly higher in the PE-rich strains under low cumulative diel photon dose during their exponential phase of growth, but decayed towards a plateau close to the PC-rich strains as cumulative diel photon dose increases.</w:t>
      </w:r>
    </w:p>
    <w:p>
      <w:pPr>
        <w:pStyle w:val="BodyText"/>
      </w:pPr>
      <w:r>
        <w:t xml:space="preserve">During pre-stationary phase this response of PUR/PAR to increasing cumulative diel PAR dampens (ANOVA,</w:t>
      </w:r>
      <w:r>
        <w:t xml:space="preserve"> </w:t>
      </w:r>
      <w:r>
        <w:rPr>
          <w:iCs/>
          <w:i/>
        </w:rPr>
        <w:t xml:space="preserve">p</w:t>
      </w:r>
      <w:r>
        <w:t xml:space="preserve"> </w:t>
      </w:r>
      <w:r>
        <w:t xml:space="preserve">&gt; 0.05, Table S7). Model fits from different phases of growth differed within a given strain, with the exception of PC-rich_056 (ANOVA;</w:t>
      </w:r>
      <w:r>
        <w:t xml:space="preserve"> </w:t>
      </w:r>
      <w:r>
        <w:rPr>
          <w:iCs/>
          <w:i/>
        </w:rPr>
        <w:t xml:space="preserve">p</w:t>
      </w:r>
      <w:r>
        <w:t xml:space="preserve"> </w:t>
      </w:r>
      <w:r>
        <w:t xml:space="preserve">&lt; 0.05, Table S7).</w:t>
      </w:r>
    </w:p>
    <w:p>
      <w:pPr>
        <w:pStyle w:val="CaptionedFigure"/>
      </w:pPr>
      <w:r>
        <w:drawing>
          <wp:inline>
            <wp:extent cx="5943600" cy="7641771"/>
            <wp:effectExtent b="0" l="0" r="0" t="0"/>
            <wp:docPr descr="Figure 5: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1" name="Picture"/>
            <a:graphic>
              <a:graphicData uri="http://schemas.openxmlformats.org/drawingml/2006/picture">
                <pic:pic>
                  <pic:nvPicPr>
                    <pic:cNvPr descr="../Output/Figures/Fig_PURPARRatio.png" id="52" name="Picture"/>
                    <pic:cNvPicPr>
                      <a:picLocks noChangeArrowheads="1" noChangeAspect="1"/>
                    </pic:cNvPicPr>
                  </pic:nvPicPr>
                  <pic:blipFill>
                    <a:blip r:embed="rId5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3" w:name="fig:PURPARRatio"/>
      <w:bookmarkEnd w:id="53"/>
      <w:r>
        <w:t xml:space="preserve">Figure 5:</w:t>
      </w:r>
      <w:r>
        <w:t xml:space="preserve"> </w:t>
      </w:r>
      <w:r>
        <w:rPr>
          <w:bCs/>
          <w:b/>
        </w:rPr>
        <w:t xml:space="preserve">Changes in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54"/>
    <w:bookmarkStart w:id="63" w:name="Xb555db924db9fdd975ae8b445b7267d35d0552f"/>
    <w:p>
      <w:pPr>
        <w:pStyle w:val="Heading2"/>
      </w:pPr>
      <w:r>
        <w:t xml:space="preserve">Decreasing effective absorption cross section of PSII with increasing cumulative diel PAR</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6</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Supplementary material (Fig. S10, Table S10-S11); as expected, excitation of chlorophyll through 445 nm light shows a low, consistent</w:t>
      </w:r>
      <w:r>
        <w:t xml:space="preserve"> </w:t>
      </w:r>
      <m:oMath>
        <m:r>
          <m:t>σ</m:t>
        </m:r>
      </m:oMath>
      <w:r>
        <w:rPr>
          <w:vertAlign w:val="subscript"/>
        </w:rPr>
        <w:t xml:space="preserve">PSII</w:t>
      </w:r>
      <w:r>
        <w:t xml:space="preserve">ʹ since the chlorophyll content serving PSII is low and consistent across growth conditions and strains of cyanobacteria</w:t>
      </w:r>
      <w:r>
        <w:t xml:space="preserve"> </w:t>
      </w:r>
      <w:r>
        <w:t xml:space="preserve">(Xu et al. 2018)</w:t>
      </w:r>
      <w:r>
        <w:t xml:space="preserve">.</w:t>
      </w:r>
    </w:p>
    <w:p>
      <w:pPr>
        <w:pStyle w:val="BodyText"/>
      </w:pPr>
      <w:r>
        <w:t xml:space="preserve">Similarly to the PUR/PAR ratio, three-way factorial ANOVA showed that cumulative diel photon dose, phase of growth, and strain, and their interactions, significantly affected the</w:t>
      </w:r>
      <w:r>
        <w:t xml:space="preserve"> </w:t>
      </w:r>
      <m:oMath>
        <m:r>
          <m:t>σ</m:t>
        </m:r>
      </m:oMath>
      <w:r>
        <w:rPr>
          <w:vertAlign w:val="subscript"/>
        </w:rPr>
        <w:t xml:space="preserve">PSII</w:t>
      </w:r>
      <w:r>
        <w:t xml:space="preserve">ʹ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p>
      <w:pPr>
        <w:pStyle w:val="BodyText"/>
      </w:pPr>
      <w:r>
        <w:t xml:space="preserve">All strains showed consistent patterns of effective absorption cross section for PSII photochemistry across cumulative diel photon doses. The</w:t>
      </w:r>
      <w:r>
        <w:t xml:space="preserve"> </w:t>
      </w:r>
      <m:oMath>
        <m:r>
          <m:t>σ</m:t>
        </m:r>
      </m:oMath>
      <w:r>
        <w:rPr>
          <w:vertAlign w:val="subscript"/>
        </w:rPr>
        <w:t xml:space="preserve">PSII</w:t>
      </w:r>
      <w:r>
        <w:t xml:space="preserve">ʹ examined a consistent, sharp exponential decay in relation to cumulative photon dose,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 The PE-rich strains showed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w:t>
      </w:r>
    </w:p>
    <w:p>
      <w:pPr>
        <w:pStyle w:val="CaptionedFigure"/>
      </w:pPr>
      <w:r>
        <w:drawing>
          <wp:inline>
            <wp:extent cx="5943600" cy="7641771"/>
            <wp:effectExtent b="0" l="0" r="0" t="0"/>
            <wp:docPr descr="Figure 6: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6" name="Picture"/>
            <a:graphic>
              <a:graphicData uri="http://schemas.openxmlformats.org/drawingml/2006/picture">
                <pic:pic>
                  <pic:nvPicPr>
                    <pic:cNvPr descr="../Output/Figures/Fig_Sigma590.png" id="57" name="Picture"/>
                    <pic:cNvPicPr>
                      <a:picLocks noChangeArrowheads="1" noChangeAspect="1"/>
                    </pic:cNvPicPr>
                  </pic:nvPicPr>
                  <pic:blipFill>
                    <a:blip r:embed="rId5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8" w:name="fig:Sigma590"/>
      <w:bookmarkEnd w:id="58"/>
      <w:r>
        <w:t xml:space="preserve">Figure 6:</w:t>
      </w:r>
      <w:r>
        <w:t xml:space="preserve"> </w:t>
      </w:r>
      <w:r>
        <w:rPr>
          <w:bCs/>
          <w:b/>
        </w:rPr>
        <w:t xml:space="preserve">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Three-way factorial ANOVA showed that cumulative diel photon dose, phase of growth, or strain, and their interactions, significantly affected the relation of</w:t>
      </w:r>
      <w:r>
        <w:t xml:space="preserve"> </w:t>
      </w:r>
      <m:oMath>
        <m:r>
          <m:t>σ</m:t>
        </m:r>
      </m:oMath>
      <w:r>
        <w:rPr>
          <w:vertAlign w:val="subscript"/>
        </w:rPr>
        <w:t xml:space="preserve">PSII</w:t>
      </w:r>
      <w:r>
        <w:t xml:space="preserve">ʹ to the Phycobiliprotein to 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were shown in Supplementary material (Fig. S9, Table Sxxx).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is shown in Fig. S11 and Table S14-S15.</w:t>
      </w:r>
    </w:p>
    <w:p>
      <w:pPr>
        <w:pStyle w:val="BodyText"/>
      </w:pPr>
      <m:oMath>
        <m:r>
          <m:t>σ</m:t>
        </m:r>
      </m:oMath>
      <w:r>
        <w:rPr>
          <w:vertAlign w:val="subscript"/>
        </w:rPr>
        <w:t xml:space="preserve">PSII</w:t>
      </w:r>
      <w:r>
        <w:t xml:space="preserve">ʹ excited through phycobilisome absorbance at Ex590nm 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w:t>
      </w:r>
    </w:p>
    <w:p>
      <w:pPr>
        <w:pStyle w:val="BodyText"/>
      </w:pPr>
      <w:r>
        <w:t xml:space="preserve">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(t-test;</w:t>
      </w:r>
      <w:r>
        <w:t xml:space="preserve"> </w:t>
      </w:r>
      <w:r>
        <w:rPr>
          <w:iCs/>
          <w:i/>
        </w:rPr>
        <w:t xml:space="preserve">p</w:t>
      </w:r>
      <w:r>
        <w:t xml:space="preserve"> </w:t>
      </w:r>
      <w:r>
        <w:t xml:space="preserve">&lt; 0.05, Table S17).</w:t>
      </w:r>
    </w:p>
    <w:p>
      <w:pPr>
        <w:pStyle w:val="CaptionedFigure"/>
      </w:pPr>
      <w:r>
        <w:drawing>
          <wp:inline>
            <wp:extent cx="5943600" cy="7641771"/>
            <wp:effectExtent b="0" l="0" r="0" t="0"/>
            <wp:docPr descr="Figure 7: Changes of effective absorption cross section of PSII (σPSIIʹ; nm2 quanta−1) measured under diel peak PAR growth light with excitation of phycobilisomes (Ex590nm, orange) vs. the ratio of sum of µg phycobilins (PE, PC, APC protein, total Phyco)/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0" name="Picture"/>
            <a:graphic>
              <a:graphicData uri="http://schemas.openxmlformats.org/drawingml/2006/picture">
                <pic:pic>
                  <pic:nvPicPr>
                    <pic:cNvPr descr="../Output/Figures/Fig_SigmaPig590.png" id="61"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2" w:name="fig:SigmaPig590"/>
      <w:bookmarkEnd w:id="62"/>
      <w:r>
        <w:t xml:space="preserve">Figure 7:</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total Phyco)/µg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bookmarkEnd w:id="63"/>
    <w:bookmarkStart w:id="68" w:name="X1b9551ef667e5e65276ae66befeff81fc92cb44"/>
    <w:p>
      <w:pPr>
        <w:pStyle w:val="Heading2"/>
      </w:pPr>
      <w:r>
        <w:t xml:space="preserve">Response of growth rates to cumulative diel PSII electron flux</w:t>
      </w:r>
    </w:p>
    <w:p>
      <w:pPr>
        <w:pStyle w:val="FirstParagraph"/>
      </w:pPr>
      <w:r>
        <w:t xml:space="preserve">Chlorophyll specific exponential growth rates, within each strain, show fairly consistent saturating responses to increasing cumulative diel PSII electron flux (</w:t>
      </w:r>
      <w:r>
        <w:rPr>
          <w:iCs/>
          <w:i/>
        </w:rPr>
        <w:t xml:space="preserve">JV</w:t>
      </w:r>
      <w:r>
        <w:rPr>
          <w:vertAlign w:val="subscript"/>
        </w:rPr>
        <w:t xml:space="preserve">PSII</w:t>
      </w:r>
      <w:r>
        <w:t xml:space="preserve"> </w:t>
      </w:r>
      <w:r>
        <w:t xml:space="preserve">cell</w:t>
      </w:r>
      <w:r>
        <w:rPr>
          <w:vertAlign w:val="superscript"/>
        </w:rPr>
        <w:t xml:space="preserve">−1</w:t>
      </w:r>
      <w:r>
        <w:t xml:space="preserve">), although photoperiod retained a secondary influence on achieved growth responses.</w:t>
      </w:r>
    </w:p>
    <w:p>
      <w:pPr>
        <w:pStyle w:val="CaptionedFigure"/>
      </w:pPr>
      <w:r>
        <w:drawing>
          <wp:inline>
            <wp:extent cx="5943600" cy="7641771"/>
            <wp:effectExtent b="0" l="0" r="0" t="0"/>
            <wp:docPr descr="Figure 8: Chlorophyll specific exponential growth rates (d−1) vs. PSII electron flux (JVPSII; e−cell−1d−1) measured under diel peak PAR growth light. Growth rates (+/- SE falling within symbols) were estimated from logistic fits of chlorophyll proxy OD680 - OD720 vs. elapsed time (Fig. S4). PSII flux (JVPSII; e−cell−1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12 (long dash line) h photoperiods, when they were significantly different (ANOVA, p &lt; 0.05) from the fit of pooled data." title="" id="65" name="Picture"/>
            <a:graphic>
              <a:graphicData uri="http://schemas.openxmlformats.org/drawingml/2006/picture">
                <pic:pic>
                  <pic:nvPicPr>
                    <pic:cNvPr descr="../Output/Figures/Fig_GrowthRate_JVPSII_Photoperiod.png" id="66" name="Picture"/>
                    <pic:cNvPicPr>
                      <a:picLocks noChangeArrowheads="1" noChangeAspect="1"/>
                    </pic:cNvPicPr>
                  </pic:nvPicPr>
                  <pic:blipFill>
                    <a:blip r:embed="rId64"/>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7" w:name="fig:GrowthRateJVPSII"/>
      <w:bookmarkEnd w:id="67"/>
      <w:r>
        <w:t xml:space="preserve">Figure 8:</w:t>
      </w:r>
      <w:r>
        <w:t xml:space="preserve"> </w:t>
      </w:r>
      <w:r>
        <w:rPr>
          <w:bCs/>
          <w:b/>
        </w:rPr>
        <w:t xml:space="preserve">Chlorophyll specific exponential growth rates (d</w:t>
      </w:r>
      <w:r>
        <w:rPr>
          <w:vertAlign w:val="superscript"/>
          <w:bCs/>
          <w:b/>
        </w:rPr>
        <w:t xml:space="preserve">−1</w:t>
      </w:r>
      <w:r>
        <w:rPr>
          <w:bCs/>
          <w:b/>
        </w:rPr>
        <w:t xml:space="preserve">) vs. PSII electron flux (</w:t>
      </w:r>
      <w:r>
        <w:rPr>
          <w:iCs/>
          <w:i/>
          <w:bCs/>
          <w:b/>
        </w:rPr>
        <w:t xml:space="preserve">JV</w:t>
      </w:r>
      <w:r>
        <w:rPr>
          <w:vertAlign w:val="subscript"/>
          <w:bCs/>
          <w:b/>
        </w:rPr>
        <w:t xml:space="preserve">PSII</w:t>
      </w:r>
      <w:r>
        <w:rPr>
          <w:bCs/>
          <w:b/>
        </w:rPr>
        <w:t xml:space="preserve">; e</w:t>
      </w:r>
      <w:r>
        <w:rPr>
          <w:vertAlign w:val="superscript"/>
          <w:bCs/>
          <w:b/>
        </w:rPr>
        <w:t xml:space="preserve">−</w:t>
      </w:r>
      <w:r>
        <w:rPr>
          <w:bCs/>
          <w:b/>
        </w:rPr>
        <w:t xml:space="preserve">cell</w:t>
      </w:r>
      <w:r>
        <w:rPr>
          <w:vertAlign w:val="superscript"/>
          <w:bCs/>
          <w:b/>
        </w:rPr>
        <w:t xml:space="preserve">−1</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12 (long dash line) h photoperiods, when they were significantly different (ANOVA,</w:t>
      </w:r>
      <w:r>
        <w:t xml:space="preserve"> </w:t>
      </w:r>
      <w:r>
        <w:rPr>
          <w:iCs/>
          <w:i/>
        </w:rPr>
        <w:t xml:space="preserve">p</w:t>
      </w:r>
      <w:r>
        <w:t xml:space="preserve"> </w:t>
      </w:r>
      <w:r>
        <w:t xml:space="preserve">&lt; 0.05) from the fit of pooled data.</w:t>
      </w:r>
    </w:p>
    <w:bookmarkEnd w:id="68"/>
    <w:bookmarkEnd w:id="69"/>
    <w:bookmarkStart w:id="79" w:name="discussion"/>
    <w:p>
      <w:pPr>
        <w:pStyle w:val="Heading1"/>
      </w:pPr>
      <w:r>
        <w:t xml:space="preserve">Discussion</w:t>
      </w:r>
    </w:p>
    <w:p>
      <w:pPr>
        <w:pStyle w:val="FirstParagraph"/>
      </w:pPr>
      <w:r>
        <w:t xml:space="preserve">growth rate:</w:t>
      </w:r>
      <w:r>
        <w:t xml:space="preserve"> </w:t>
      </w:r>
      <w:r>
        <w:t xml:space="preserve">In this study, the chlorophyll specific exponential growth rates (μ; d</w:t>
      </w:r>
      <w:r>
        <w:rPr>
          <w:vertAlign w:val="superscript"/>
        </w:rPr>
        <w:t xml:space="preserve">−1</w:t>
      </w:r>
      <w:r>
        <w:t xml:space="preserve">) vs. cumulative diel PAR (Fig Sxxx in Supplementary materials) or PUR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were determined. Growth rates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picocyanobacteria cultures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w:t>
      </w:r>
      <w:r>
        <w:t xml:space="preserve">).</w:t>
      </w:r>
    </w:p>
    <w:p>
      <w:pPr>
        <w:pStyle w:val="BodyText"/>
      </w:pPr>
      <w:r>
        <w:t xml:space="preserve">Analyzed phenotypes of</w:t>
      </w:r>
      <w:r>
        <w:t xml:space="preserve"> </w:t>
      </w:r>
      <w:r>
        <w:rPr>
          <w:iCs/>
          <w:i/>
        </w:rPr>
        <w:t xml:space="preserve">Synechococcus</w:t>
      </w:r>
      <w:r>
        <w:t xml:space="preserve"> </w:t>
      </w:r>
      <w:r>
        <w:t xml:space="preserve">sp. showed varying chlorophyll specific exponential growth rates (μ) under different photoperiod and light conditions. Three-way factorial ANOVA showed that individual factor (irradiance, photoperiod, and strain) and their interactions significantly affected the μ,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(ANOVA,</w:t>
      </w:r>
      <w:r>
        <w:t xml:space="preserve"> </w:t>
      </w:r>
      <w:r>
        <w:rPr>
          <w:iCs/>
          <w:i/>
        </w:rPr>
        <w:t xml:space="preserve">p</w:t>
      </w:r>
      <w:r>
        <w:t xml:space="preserve"> </w:t>
      </w:r>
      <w:r>
        <w:t xml:space="preserve">&lt; 0.05 for all; Table S3). All tested strains were able to grow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except PE-rich_048.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the 180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BodyText"/>
      </w:pPr>
      <w:r>
        <w:t xml:space="preserve">We also found that cumulative diel PUR consistently explains achieved μ across a matrix of photoperiods and peak PAR. Every strain showed distinct growth responses to cumulative diel PUR, depending upon photoperiod. One-way ANOVA of a three parameter model</w:t>
      </w:r>
      <w:r>
        <w:t xml:space="preserve"> </w:t>
      </w:r>
      <w:r>
        <w:t xml:space="preserve">(Harrison and Platt 1986)</w:t>
      </w:r>
      <w:r>
        <w:t xml:space="preserve"> </w:t>
      </w:r>
      <w:r>
        <w:t xml:space="preserve">from μ for two PC-rich and two PE-rich cultures of</w:t>
      </w:r>
      <w:r>
        <w:t xml:space="preserve"> </w:t>
      </w:r>
      <w:r>
        <w:rPr>
          <w:iCs/>
          <w:i/>
        </w:rPr>
        <w:t xml:space="preserve">Synechococcus</w:t>
      </w:r>
      <w:r>
        <w:t xml:space="preserve"> </w:t>
      </w:r>
      <w:r>
        <w:t xml:space="preserve">sp. showed significant difference between model performed from pooled data and data fit across all tested photoperiods (8, 12, 16, or 24 h; ANOVA,</w:t>
      </w:r>
      <w:r>
        <w:t xml:space="preserve"> </w:t>
      </w:r>
      <w:r>
        <w:rPr>
          <w:iCs/>
          <w:i/>
        </w:rPr>
        <w:t xml:space="preserve">p</w:t>
      </w:r>
      <w:r>
        <w:t xml:space="preserve"> </w:t>
      </w:r>
      <w:r>
        <w:t xml:space="preserve">&lt; 0.05, Table S4 in Supplemental material). Strains also showed distinct growth responses to cumulative diel PUR, depending upon peak PAR. In supplemental data (Fig. S5), strains generally showed peak-PAR specific responses to cumulative diel PAR or PUR,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diel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tbl>
      <w:tblPr>
        <w:tblStyle w:val="Table"/>
        <w:tblW w:type="pct" w:w="2431"/>
        <w:tblLook w:firstRow="1" w:lastRow="0" w:firstColumn="0" w:lastColumn="0" w:noHBand="0" w:noVBand="0" w:val="0020"/>
        <w:jc w:val="start"/>
      </w:tblPr>
      <w:tblGrid>
        <w:gridCol w:w="3850"/>
      </w:tblGrid>
      <w:tr>
        <w:trPr>
          <w:tblHeader w:val="true"/>
        </w:trPr>
        <w:tc>
          <w:tcPr/>
          <w:p>
            <w:pPr>
              <w:pStyle w:val="Compact"/>
              <w:jc w:val="left"/>
            </w:pPr>
            <w:r>
              <w:t xml:space="preserve">PUR/PAR ratio:</w:t>
            </w:r>
            <w:r>
              <w:t xml:space="preserve"> </w:t>
            </w:r>
            <w:r>
              <w:t xml:space="preserve">Changes of PUR/PAR ratio vs. cumulative diel PAR (µmol photons m</w:t>
            </w:r>
            <w:r>
              <w:rPr>
                <w:vertAlign w:val="superscript"/>
              </w:rPr>
              <w:t xml:space="preserve">−2</w:t>
            </w:r>
            <w:r>
              <w:t xml:space="preserve">d</w:t>
            </w:r>
            <w:r>
              <w:rPr>
                <w:vertAlign w:val="superscript"/>
              </w:rPr>
              <w:t xml:space="preserve">−1</w:t>
            </w:r>
            <w:r>
              <w:t xml:space="preserve">) for two PC-rich cultures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estimated (Fig.</w:t>
            </w:r>
            <w:r>
              <w:t xml:space="preserve"> </w:t>
            </w:r>
            <w:r>
              <w:t xml:space="preserve">5</w:t>
            </w:r>
            <w:r>
              <w:t xml:space="preserve">). Three-way factorial ANOVA showed that individual factor (cumulative diel PAR, phase of growth, or strain) but not the interactions of these 3 factors, affected the PUR/PAR ratio (ANOVA,</w:t>
            </w:r>
            <w:r>
              <w:t xml:space="preserve"> </w:t>
            </w:r>
            <w:r>
              <w:rPr>
                <w:iCs/>
                <w:i/>
              </w:rPr>
              <w:t xml:space="preserve">p</w:t>
            </w:r>
            <w:r>
              <w:t xml:space="preserve"> </w:t>
            </w:r>
            <w:r>
              <w:t xml:space="preserve">&lt; 0.05, Table S6).</w:t>
            </w:r>
          </w:p>
        </w:tc>
      </w:tr>
      <w:tr>
        <w:tc>
          <w:tcPr/>
          <w:p>
            <w:pPr>
              <w:pStyle w:val="Compact"/>
              <w:jc w:val="left"/>
            </w:pPr>
            <w:r>
              <w:t xml:space="preserve">Sigma vs photondose:</w:t>
            </w:r>
          </w:p>
        </w:tc>
      </w:tr>
      <w:tr>
        <w:tc>
          <w:tcPr/>
          <w:p>
            <w:pPr>
              <w:pStyle w:val="Compact"/>
              <w:jc w:val="left"/>
            </w:pPr>
            <w:r>
              <w:t xml:space="preserve">In this work, we estimated the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w:t>
            </w:r>
            <w:r>
              <w:t xml:space="preserve"> </w:t>
            </w:r>
            <w:r>
              <w:t xml:space="preserve">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6</w:t>
            </w:r>
            <w:r>
              <w:t xml:space="preserve">). The</w:t>
            </w:r>
            <w:r>
              <w:t xml:space="preserve"> </w:t>
            </w:r>
            <m:oMath>
              <m:r>
                <m:t>σ</m:t>
              </m:r>
            </m:oMath>
            <w:r>
              <w:rPr>
                <w:vertAlign w:val="subscript"/>
              </w:rPr>
              <w:t xml:space="preserve">PSII</w:t>
            </w:r>
            <w:r>
              <w:t xml:space="preserve">’ measured under diel peak PAR growth light under Ex</w:t>
            </w:r>
            <w:r>
              <w:rPr>
                <w:vertAlign w:val="subscript"/>
              </w:rPr>
              <w:t xml:space="preserve">445nm</w:t>
            </w:r>
            <w:r>
              <w:t xml:space="preserve"> </w:t>
            </w:r>
            <w:r>
              <w:t xml:space="preserve">(blue) excitation vs. cumulative diel PAR was shown in Supplementary material (Fig. S10, Table S10-S11).</w:t>
            </w:r>
          </w:p>
        </w:tc>
      </w:tr>
      <w:tr>
        <w:tc>
          <w:tcPr/>
          <w:p>
            <w:pPr>
              <w:pStyle w:val="Compact"/>
              <w:jc w:val="left"/>
            </w:pPr>
            <w:r>
              <w:t xml:space="preserve">Similarly to the PUR/PAR ratio, three-way factorial ANOVA showed that individual factor (cumulative diel PAR,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tc>
      </w:tr>
      <w:tr>
        <w:tc>
          <w:tcPr/>
          <w:p>
            <w:pPr>
              <w:pStyle w:val="Compact"/>
              <w:jc w:val="left"/>
            </w:pPr>
            <w:r>
              <w:t xml:space="preserve">All strains showed consistent patterns of effective absorption cross section for PSII photochemistry across cumulative diel PAR. The</w:t>
            </w:r>
            <w:r>
              <w:t xml:space="preserve"> </w:t>
            </w:r>
            <m:oMath>
              <m:r>
                <m:t>σ</m:t>
              </m:r>
            </m:oMath>
            <w:r>
              <w:rPr>
                <w:vertAlign w:val="subscript"/>
              </w:rPr>
              <w:t xml:space="preserve">PSII</w:t>
            </w:r>
            <w:r>
              <w:t xml:space="preserve">’ examined a consistent, sharp exponential decay in relation to cumulative diel PAR,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w:t>
            </w:r>
          </w:p>
        </w:tc>
      </w:tr>
      <w:tr>
        <w:tc>
          <w:tcPr/>
          <w:p>
            <w:pPr>
              <w:pStyle w:val="Compact"/>
              <w:jc w:val="left"/>
            </w:pPr>
            <w:r>
              <w:t xml:space="preserve">The PE-rich strains showed higher</w:t>
            </w:r>
            <w:r>
              <w:t xml:space="preserve"> </w:t>
            </w:r>
            <m:oMath>
              <m:r>
                <m:t>σ</m:t>
              </m:r>
            </m:oMath>
            <w:r>
              <w:rPr>
                <w:vertAlign w:val="subscript"/>
              </w:rPr>
              <w:t xml:space="preserve">PSII</w:t>
            </w:r>
            <w:r>
              <w:t xml:space="preserve">’ under low cumulative diel PAR, and remain higher than the PC-rich strains even as cumulative diel PAR increases.</w:t>
            </w:r>
          </w:p>
        </w:tc>
      </w:tr>
    </w:tbl>
    <w:p>
      <w:pPr>
        <w:pStyle w:val="BodyText"/>
      </w:pPr>
      <w:r>
        <w:t xml:space="preserve">Sig vs pigment:</w:t>
      </w:r>
      <w:r>
        <w:t xml:space="preserve"> </w:t>
      </w:r>
      <w:r>
        <w:t xml:space="preserve">Changes of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demonstrated (Fig.</w:t>
      </w:r>
      <w:r>
        <w:t xml:space="preserve"> </w:t>
      </w:r>
      <w:r>
        <w:t xml:space="preserve">7</w:t>
      </w:r>
      <w:r>
        <w:t xml:space="preserve">).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were shown in Supplementary material (Fig. S9, Table Sxxx). Also, the</w:t>
      </w:r>
      <w:r>
        <w:t xml:space="preserve"> </w:t>
      </w:r>
      <m:oMath>
        <m:r>
          <m:t>σ</m:t>
        </m:r>
      </m:oMath>
      <w:r>
        <w:rPr>
          <w:vertAlign w:val="subscript"/>
        </w:rPr>
        <w:t xml:space="preserve">PSII</w:t>
      </w:r>
      <w:r>
        <w:t xml:space="preserve">’</w:t>
      </w:r>
      <w:r>
        <w:t xml:space="preserve"> </w:t>
      </w:r>
      <w:r>
        <w:t xml:space="preserve">measured under diel peak PAR growth light under Ex</w:t>
      </w:r>
      <w:r>
        <w:rPr>
          <w:vertAlign w:val="subscript"/>
        </w:rPr>
        <w:t xml:space="preserve">445nm</w:t>
      </w:r>
      <w:r>
        <w:t xml:space="preserve"> </w:t>
      </w:r>
      <w:r>
        <w:t xml:space="preserve">(blue) excitation vs. total Phyco/Chl</w:t>
      </w:r>
      <w:r>
        <w:t xml:space="preserve"> </w:t>
      </w:r>
      <w:r>
        <w:rPr>
          <w:iCs/>
          <w:i/>
        </w:rPr>
        <w:t xml:space="preserve">a</w:t>
      </w:r>
      <w:r>
        <w:t xml:space="preserve"> </w:t>
      </w:r>
      <w:r>
        <w:t xml:space="preserve">ratio was shown in Fig. S11 and Table S14-S15.</w:t>
      </w:r>
    </w:p>
    <w:p>
      <w:pPr>
        <w:pStyle w:val="BodyText"/>
      </w:pPr>
      <w:r>
        <w:t xml:space="preserve">In this work we found that</w:t>
      </w:r>
      <w:r>
        <w:t xml:space="preserve"> </w:t>
      </w:r>
      <m:oMath>
        <m:r>
          <m:t>σ</m:t>
        </m:r>
      </m:oMath>
      <w:r>
        <w:rPr>
          <w:vertAlign w:val="subscript"/>
        </w:rPr>
        <w:t xml:space="preserve">PSII</w:t>
      </w:r>
      <w:r>
        <w:t xml:space="preserve">’ showed a consistent relation to phycobilisome:chlorophyll ratio. Three-way factorial ANOVA showed that individual factor (cumulative diel PAR,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relation to the total Phyco/Chl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w:t>
      </w:r>
    </w:p>
    <w:p>
      <w:pPr>
        <w:pStyle w:val="BodyText"/>
      </w:pPr>
      <w:r>
        <w:t xml:space="preserve">The</w:t>
      </w:r>
      <w:r>
        <w:t xml:space="preserve"> </w:t>
      </w:r>
      <m:oMath>
        <m:r>
          <m:t>σ</m:t>
        </m:r>
      </m:oMath>
      <w:r>
        <w:rPr>
          <w:vertAlign w:val="subscript"/>
        </w:rPr>
        <w:t xml:space="preserve">PSII</w:t>
      </w:r>
      <w:r>
        <w:t xml:space="preserve">’ excited through chlorophyll absorbance at Ex</w:t>
      </w:r>
      <w:r>
        <w:rPr>
          <w:vertAlign w:val="subscript"/>
        </w:rPr>
        <w:t xml:space="preserve">445nm</w:t>
      </w:r>
      <w:r>
        <w:t xml:space="preserve"> </w:t>
      </w:r>
      <w:r>
        <w:t xml:space="preserve">was consistently small across strains and growth conditions, since in cyanobacteria the number of chlorophyll serving PSII is nearly fixed (CITATIONS DOUG, Fig. S11). For</w:t>
      </w:r>
      <w:r>
        <w:t xml:space="preserve"> </w:t>
      </w:r>
      <m:oMath>
        <m:r>
          <m:t>σ</m:t>
        </m:r>
      </m:oMath>
      <w:r>
        <w:rPr>
          <w:vertAlign w:val="subscript"/>
        </w:rPr>
        <w:t xml:space="preserve">PSII</w:t>
      </w:r>
      <w:r>
        <w:t xml:space="preserve">’ excited through phycobilisome absorbance at Ex</w:t>
      </w:r>
      <w:r>
        <w:rPr>
          <w:vertAlign w:val="subscript"/>
        </w:rPr>
        <w:t xml:space="preserve">590nm</w:t>
      </w:r>
      <w:r>
        <w:t xml:space="preserve">, strains show consistent positive correlation with total Phyco/Chl</w:t>
      </w:r>
      <w:r>
        <w:t xml:space="preserve"> </w:t>
      </w:r>
      <w:r>
        <w:rPr>
          <w:iCs/>
          <w:i/>
        </w:rPr>
        <w:t xml:space="preserve">a</w:t>
      </w:r>
      <w:r>
        <w:t xml:space="preserve"> </w:t>
      </w:r>
      <w:r>
        <w:t xml:space="preserve">ratio.</w:t>
      </w:r>
      <w:r>
        <w:t xml:space="preserve"> </w:t>
      </w:r>
      <w:r>
        <w:t xml:space="preserve">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 the relationship between</w:t>
      </w:r>
      <w:r>
        <w:t xml:space="preserve"> </w:t>
      </w:r>
      <m:oMath>
        <m:r>
          <m:t>σ</m:t>
        </m:r>
      </m:oMath>
      <w:r>
        <w:rPr>
          <w:vertAlign w:val="subscript"/>
        </w:rPr>
        <w:t xml:space="preserve">PSII</w:t>
      </w:r>
      <w:r>
        <w:t xml:space="preserve">’</w:t>
      </w:r>
      <w:r>
        <w:t xml:space="preserve"> </w:t>
      </w:r>
      <w:r>
        <w:t xml:space="preserve">and total Phyco/Chl</w:t>
      </w:r>
      <w:r>
        <w:t xml:space="preserve"> </w:t>
      </w:r>
      <w:r>
        <w:rPr>
          <w:iCs/>
          <w:i/>
        </w:rPr>
        <w:t xml:space="preserve">a</w:t>
      </w:r>
      <w:r>
        <w:t xml:space="preserve"> </w:t>
      </w:r>
      <w:r>
        <w:t xml:space="preserve">ratio was more consistent, suggesting an increase in reliance upon compositional regulation to control light delivery to PSII, as opposed to shorter-term regulation.</w:t>
      </w:r>
    </w:p>
    <w:bookmarkStart w:id="70" w:name="X872bf93affd2a8a17bb9ae1eb1031847ea17c97"/>
    <w:p>
      <w:pPr>
        <w:pStyle w:val="Heading2"/>
      </w:pPr>
      <w:r>
        <w:rPr>
          <w:rStyle w:val="SectionNumber"/>
        </w:rPr>
        <w:t xml:space="preserve">0.1</w:t>
      </w:r>
      <w:r>
        <w:tab/>
      </w:r>
      <w:r>
        <w:t xml:space="preserve">The linear fits also vary significantly among strains. The linear fit models differ significantly among PC-rich_077 and two PE-rich strains during their exponential phase of growth. During pre-stationary phase we noted significant differences between two PC-rich strains and PE-rich_048. Moreover, the significant differences between the fit models for different phases of growth were noted for PC-rich strains 056 and 077 (t-test;</w:t>
      </w:r>
      <w:r>
        <w:t xml:space="preserve"> </w:t>
      </w:r>
      <w:r>
        <w:rPr>
          <w:iCs/>
          <w:i/>
        </w:rPr>
        <w:t xml:space="preserve">p</w:t>
      </w:r>
      <w:r>
        <w:t xml:space="preserve"> </w:t>
      </w:r>
      <w:r>
        <w:t xml:space="preserve">&lt; 0.05, Table S17).</w:t>
      </w:r>
    </w:p>
    <w:bookmarkEnd w:id="70"/>
    <w:bookmarkStart w:id="74" w:name="X174294fdbd43bc163baa03fda2d0bed26ef4b1f"/>
    <w:p>
      <w:pPr>
        <w:pStyle w:val="Heading2"/>
      </w:pPr>
      <w:r>
        <w:t xml:space="preserve">Photic regime significance for picocyanobacteria growth</w:t>
      </w:r>
    </w:p>
    <w:bookmarkStart w:id="71" w:name="photoperiod-length"/>
    <w:p>
      <w:pPr>
        <w:pStyle w:val="Heading3"/>
      </w:pPr>
      <w:r>
        <w:t xml:space="preserve">Photoperiod length</w:t>
      </w:r>
    </w:p>
    <w:p>
      <w:pPr>
        <w:pStyle w:val="FirstParagraph"/>
      </w:pPr>
      <w:r>
        <w:t xml:space="preserve">Changes in photoperiod trigger adaptive responses, shaping the temporal dynamics and community structure of phytoplankton</w:t>
      </w:r>
      <w:r>
        <w:t xml:space="preserve"> </w:t>
      </w:r>
      <w:r>
        <w:t xml:space="preserve">(Alberte et al. 1980; Huisman et al. 2002; LaRoche and Robicheau 2022)</w:t>
      </w:r>
      <w:r>
        <w:t xml:space="preserve">.</w:t>
      </w:r>
      <w:r>
        <w:t xml:space="preserve"> </w:t>
      </w:r>
      <w:r>
        <w:t xml:space="preserve">This work revealed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chlorophyll specific exponential growth rates with increasing photoperiod, including constant light conditions. This is particularly important in regions with a longer photoperiod but relatively low irradiances, for example, in the Arctic and Antarctic regions, where PC-strains may become dominant species in the surface waters.</w:t>
      </w:r>
    </w:p>
    <w:p>
      <w:pPr>
        <w:pStyle w:val="BodyText"/>
      </w:pPr>
      <w:r>
        <w:t xml:space="preserve">xxx - paper about existence pico in arctic. Maybe different regions?</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 Synechococcus 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71"/>
    <w:bookmarkStart w:id="72" w:name="photosynthetically-active-radiation-par"/>
    <w:p>
      <w:pPr>
        <w:pStyle w:val="Heading3"/>
      </w:pPr>
      <w:r>
        <w:t xml:space="preserve">Photosynthetically Active Radiation (PAR)</w:t>
      </w:r>
    </w:p>
    <w:p>
      <w:pPr>
        <w:pStyle w:val="FirstParagraph"/>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Kirk 1983; Field et al. 1998; Torremorell et al. 2009; Churilova et al. 2020)</w:t>
      </w:r>
      <w:r>
        <w:t xml:space="preserve">.</w:t>
      </w:r>
    </w:p>
    <w:p>
      <w:pPr>
        <w:pStyle w:val="BodyText"/>
      </w:pP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In this study, chlorophyll specific exponential growth rates of the PE-rich and PC-rich</w:t>
      </w:r>
      <w:r>
        <w:t xml:space="preserve"> </w:t>
      </w:r>
      <w:r>
        <w:rPr>
          <w:iCs/>
          <w:i/>
        </w:rPr>
        <w:t xml:space="preserve">Synechococcus</w:t>
      </w:r>
      <w:r>
        <w:t xml:space="preserve"> </w:t>
      </w:r>
      <w:r>
        <w:t xml:space="preserve">sp. strains increased at the light levels, although some strains suffered photoinhibition. The</w:t>
      </w:r>
      <w:r>
        <w:t xml:space="preserve"> </w:t>
      </w:r>
      <w:r>
        <w:rPr>
          <w:iCs/>
          <w:i/>
        </w:rPr>
        <w:t xml:space="preserve">Synechococcus</w:t>
      </w:r>
      <w:r>
        <w:t xml:space="preserve"> </w:t>
      </w:r>
      <w:r>
        <w:t xml:space="preserve">sp. strains reached a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strains may survive under high-irradiance conditions, implying much wider tolerance range that reported in the literature [citationxxx] that needs to be accounted for while developing large-scale phytoplankton models.</w:t>
      </w:r>
    </w:p>
    <w:p>
      <w:pPr>
        <w:pStyle w:val="BodyText"/>
      </w:pPr>
      <w:r>
        <w:t xml:space="preserve">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72"/>
    <w:bookmarkStart w:id="73" w:name="photosynthetically-usable-radiation-pur"/>
    <w:p>
      <w:pPr>
        <w:pStyle w:val="Heading3"/>
      </w:pPr>
      <w:r>
        <w:t xml:space="preserve">Photosynthetically Usable Radiation (PUR)</w:t>
      </w:r>
    </w:p>
    <w:p>
      <w:pPr>
        <w:pStyle w:val="FirstParagraph"/>
      </w:pPr>
      <w:r>
        <w:t xml:space="preserve">PUR is always smaller than PAR (PUR &lt; PAR) and depends on the spectral composition of the submarine radiant energy available to algae and their pigment composition determining the spectral absorption properties</w:t>
      </w:r>
      <w:r>
        <w:t xml:space="preserve"> </w:t>
      </w:r>
      <w:r>
        <w:t xml:space="preserve">(Morel 1978)</w:t>
      </w:r>
      <w:r>
        <w:t xml:space="preserve">.</w:t>
      </w:r>
    </w:p>
    <w:p>
      <w:pPr>
        <w:pStyle w:val="BodyText"/>
      </w:pPr>
      <w:r>
        <w:t xml:space="preserve">PUR plays a fundamental role in the growth and productivity of phytoplankton within aquatic ecosystems</w:t>
      </w:r>
      <w:r>
        <w:t xml:space="preserve"> </w:t>
      </w:r>
      <w:r>
        <w:t xml:space="preserve">(Morel 1988; Falkowski et al. 2000; Behrenfeld et al. 2006)</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w:t>
      </w:r>
    </w:p>
    <w:p>
      <w:pPr>
        <w:pStyle w:val="BodyText"/>
      </w:pPr>
      <w:r>
        <w:t xml:space="preserve">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(Morel 1978, 1988)</w:t>
      </w:r>
      <w:r>
        <w:t xml:space="preserve">.</w:t>
      </w:r>
    </w:p>
    <w:p>
      <w:pPr>
        <w:pStyle w:val="BodyText"/>
      </w:pPr>
      <w:r>
        <w:t xml:space="preserve">Understanding the dynamics and availability of PUR is crucial for comprehending the variability of picocyanobacteria communities in different aquatic environments.</w:t>
      </w:r>
    </w:p>
    <w:bookmarkEnd w:id="73"/>
    <w:bookmarkEnd w:id="74"/>
    <w:bookmarkStart w:id="78" w:name="X3692c8cc7c5ea30a35794d7dc55cce4460b76da"/>
    <w:p>
      <w:pPr>
        <w:pStyle w:val="Heading2"/>
      </w:pPr>
      <w:r>
        <w:t xml:space="preserve">Photic regime and and growth phases significance for picocyanobacteria light-capture</w:t>
      </w:r>
    </w:p>
    <w:bookmarkStart w:id="75" w:name="purpar-ratio"/>
    <w:p>
      <w:pPr>
        <w:pStyle w:val="Heading3"/>
      </w:pPr>
      <w:r>
        <w:t xml:space="preserve">PUR/PAR ratio</w:t>
      </w:r>
    </w:p>
    <w:p>
      <w:pPr>
        <w:pStyle w:val="FirstParagraph"/>
      </w:pPr>
      <w:r>
        <w:t xml:space="preserve">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w:t>
      </w:r>
    </w:p>
    <w:p>
      <w:pPr>
        <w:pStyle w:val="BodyText"/>
      </w:pPr>
      <w:r>
        <w:t xml:space="preserve">In this study, the PE-rich strains always had a higher PUR/PAR ratio than the PC-rich strains. The PUR/PAR ratio decreased with increasing light in the PE-rich strains, while it initially increased under low light and short photoperiod in the PC-rich strains.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5"/>
    <w:bookmarkStart w:id="76" w:name="pigments-content"/>
    <w:p>
      <w:pPr>
        <w:pStyle w:val="Heading3"/>
      </w:pPr>
      <w:r>
        <w:t xml:space="preserve">Pigments content</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w:t>
      </w:r>
    </w:p>
    <w:bookmarkEnd w:id="76"/>
    <w:bookmarkStart w:id="77" w:name="X896ba70f6fcf7bd55c489fa1895b9327cad180d"/>
    <w:p>
      <w:pPr>
        <w:pStyle w:val="Heading3"/>
      </w:pPr>
      <w:r>
        <w:t xml:space="preserve">Effective absorption cross section of PSII and PSII flux per unit volume</w:t>
      </w:r>
    </w:p>
    <w:bookmarkEnd w:id="77"/>
    <w:bookmarkEnd w:id="78"/>
    <w:bookmarkEnd w:id="79"/>
    <w:bookmarkStart w:id="80"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80"/>
    <w:bookmarkStart w:id="81" w:name="acknowledgements"/>
    <w:p>
      <w:pPr>
        <w:pStyle w:val="Heading1"/>
      </w:pPr>
      <w:r>
        <w:t xml:space="preserve">Acknowledgements</w:t>
      </w:r>
    </w:p>
    <w:p>
      <w:pPr>
        <w:pStyle w:val="FirstParagraph"/>
      </w:pPr>
      <w:r>
        <w:t xml:space="preserve">We would like to thank Carlie Barnhill (Mount Allison Student) who assisted with code for import of Multi-Cultivator growth data files.</w:t>
      </w:r>
    </w:p>
    <w:bookmarkEnd w:id="81"/>
    <w:bookmarkStart w:id="82"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2"/>
    <w:bookmarkStart w:id="88"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3">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4">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5">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86">
        <w:r>
          <w:rPr>
            <w:rStyle w:val="Hyperlink"/>
          </w:rPr>
          <w:t xml:space="preserve">https://docs.google.com/spreadsheets/d/1cfyxO1bFSeEMlMnx1vAyuskk3Un_bqkE9-uUSc-jwhE/edit#gid=0</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PAR and PUR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87" w:name="Xd25aad00de3ab5b51f7b98d6e77e13a4c00f459"/>
    <w:p>
      <w:pPr>
        <w:pStyle w:val="Heading2"/>
      </w:pPr>
      <w:r>
        <w:rPr>
          <w:rStyle w:val="SectionNumber"/>
        </w:rPr>
        <w:t xml:space="preserve">0.2</w:t>
      </w:r>
      <w:r>
        <w:tab/>
      </w:r>
      <w:r>
        <w:t xml:space="preserve">The linear fits also vary significantly among strains.</w:t>
      </w:r>
    </w:p>
    <w:bookmarkEnd w:id="87"/>
    <w:bookmarkEnd w:id="88"/>
    <w:bookmarkStart w:id="192" w:name="references"/>
    <w:p>
      <w:pPr>
        <w:pStyle w:val="Heading1"/>
      </w:pPr>
      <w:r>
        <w:t xml:space="preserve">References</w:t>
      </w:r>
    </w:p>
    <w:bookmarkStart w:id="191" w:name="refs"/>
    <w:bookmarkStart w:id="90"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89">
        <w:r>
          <w:rPr>
            <w:rStyle w:val="Hyperlink"/>
          </w:rPr>
          <w:t xml:space="preserve">10.1111/1462-2920.16384</w:t>
        </w:r>
      </w:hyperlink>
    </w:p>
    <w:bookmarkEnd w:id="90"/>
    <w:bookmarkStart w:id="92"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1">
        <w:r>
          <w:rPr>
            <w:rStyle w:val="Hyperlink"/>
          </w:rPr>
          <w:t xml:space="preserve">10.1038/284481a0</w:t>
        </w:r>
      </w:hyperlink>
    </w:p>
    <w:bookmarkEnd w:id="92"/>
    <w:bookmarkStart w:id="94"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3">
        <w:r>
          <w:rPr>
            <w:rStyle w:val="Hyperlink"/>
          </w:rPr>
          <w:t xml:space="preserve">10.1146/annurev-marine-010213-135103</w:t>
        </w:r>
      </w:hyperlink>
    </w:p>
    <w:bookmarkEnd w:id="94"/>
    <w:bookmarkStart w:id="96" w:name="X78a690ddcffed75740a96a2fca4b8e9a29d3a28"/>
    <w:p>
      <w:pPr>
        <w:pStyle w:val="Bibliography"/>
      </w:pPr>
      <w:r>
        <w:t xml:space="preserve">Beale, S. I. 1994.</w:t>
      </w:r>
      <w:r>
        <w:t xml:space="preserve"> </w:t>
      </w:r>
      <w:hyperlink r:id="rId95">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6"/>
    <w:bookmarkStart w:id="98"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7">
        <w:r>
          <w:rPr>
            <w:rStyle w:val="Hyperlink"/>
          </w:rPr>
          <w:t xml:space="preserve">10.1038/nature05317</w:t>
        </w:r>
      </w:hyperlink>
    </w:p>
    <w:bookmarkEnd w:id="98"/>
    <w:bookmarkStart w:id="100"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99">
        <w:r>
          <w:rPr>
            <w:rStyle w:val="Hyperlink"/>
          </w:rPr>
          <w:t xml:space="preserve">10.1083/jcb.58.2.419</w:t>
        </w:r>
      </w:hyperlink>
    </w:p>
    <w:bookmarkEnd w:id="100"/>
    <w:bookmarkStart w:id="101"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1"/>
    <w:bookmarkStart w:id="103"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2">
        <w:r>
          <w:rPr>
            <w:rStyle w:val="Hyperlink"/>
          </w:rPr>
          <w:t xml:space="preserve">10.3389/fmars.2019.00319</w:t>
        </w:r>
      </w:hyperlink>
    </w:p>
    <w:bookmarkEnd w:id="103"/>
    <w:bookmarkStart w:id="104"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4"/>
    <w:bookmarkStart w:id="106" w:name="X30cea3580c16855f9d89aaa53f7c7533fb5925c"/>
    <w:p>
      <w:pPr>
        <w:pStyle w:val="Bibliography"/>
      </w:pPr>
      <w:r>
        <w:t xml:space="preserve">Chakdar, H., and S. Pabbi. 2016.</w:t>
      </w:r>
      <w:r>
        <w:t xml:space="preserve"> </w:t>
      </w:r>
      <w:hyperlink r:id="rId105">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6"/>
    <w:bookmarkStart w:id="108"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07">
        <w:r>
          <w:rPr>
            <w:rStyle w:val="Hyperlink"/>
          </w:rPr>
          <w:t xml:space="preserve">10.1111/nph.17903</w:t>
        </w:r>
      </w:hyperlink>
    </w:p>
    <w:bookmarkEnd w:id="108"/>
    <w:bookmarkStart w:id="110"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09">
        <w:r>
          <w:rPr>
            <w:rStyle w:val="Hyperlink"/>
          </w:rPr>
          <w:t xml:space="preserve">10.4319/lo.1999.44.1.0052</w:t>
        </w:r>
      </w:hyperlink>
    </w:p>
    <w:bookmarkEnd w:id="110"/>
    <w:bookmarkStart w:id="112" w:name="X21dee1dcdfece03937df9d374fd0f913ede34fd"/>
    <w:p>
      <w:pPr>
        <w:pStyle w:val="Bibliography"/>
      </w:pPr>
      <w:r>
        <w:t xml:space="preserve">Churilova, T. Ya., V. V. Suslin, N. A. Moiseeva, and T. V. Efimova. 2020.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w:t>
      </w:r>
      <w:r>
        <w:t xml:space="preserve"> </w:t>
      </w:r>
      <w:r>
        <w:rPr>
          <w:bCs/>
          <w:b/>
        </w:rPr>
        <w:t xml:space="preserve">86</w:t>
      </w:r>
      <w:r>
        <w:t xml:space="preserve">: 1084–1091. doi:</w:t>
      </w:r>
      <w:hyperlink r:id="rId111">
        <w:r>
          <w:rPr>
            <w:rStyle w:val="Hyperlink"/>
          </w:rPr>
          <w:t xml:space="preserve">10.1007/s10812-020-00944-0</w:t>
        </w:r>
      </w:hyperlink>
    </w:p>
    <w:bookmarkEnd w:id="112"/>
    <w:bookmarkStart w:id="114"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3">
        <w:r>
          <w:rPr>
            <w:rStyle w:val="Hyperlink"/>
          </w:rPr>
          <w:t xml:space="preserve">10.1186/gb-2008-9-5-r90</w:t>
        </w:r>
      </w:hyperlink>
    </w:p>
    <w:bookmarkEnd w:id="114"/>
    <w:bookmarkStart w:id="115"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5"/>
    <w:bookmarkStart w:id="116"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6"/>
    <w:bookmarkStart w:id="118" w:name="ref-falkowskiGlobalCarbonCycle2000"/>
    <w:p>
      <w:pPr>
        <w:pStyle w:val="Bibliography"/>
      </w:pPr>
      <w:r>
        <w:t xml:space="preserve">Falkowski, P., R. J. Scholes, E. Boyle, and others. 2000.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w:t>
      </w:r>
      <w:r>
        <w:t xml:space="preserve"> </w:t>
      </w:r>
      <w:r>
        <w:rPr>
          <w:bCs/>
          <w:b/>
        </w:rPr>
        <w:t xml:space="preserve">290</w:t>
      </w:r>
      <w:r>
        <w:t xml:space="preserve">: 291–296. doi:</w:t>
      </w:r>
      <w:hyperlink r:id="rId117">
        <w:r>
          <w:rPr>
            <w:rStyle w:val="Hyperlink"/>
          </w:rPr>
          <w:t xml:space="preserve">10.1126/science.290.5490.291</w:t>
        </w:r>
      </w:hyperlink>
    </w:p>
    <w:bookmarkEnd w:id="118"/>
    <w:bookmarkStart w:id="120"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19">
        <w:r>
          <w:rPr>
            <w:rStyle w:val="Hyperlink"/>
          </w:rPr>
          <w:t xml:space="preserve">10.1126/science.281.5374.237</w:t>
        </w:r>
      </w:hyperlink>
    </w:p>
    <w:bookmarkEnd w:id="120"/>
    <w:bookmarkStart w:id="122"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1">
        <w:r>
          <w:rPr>
            <w:rStyle w:val="Hyperlink"/>
          </w:rPr>
          <w:t xml:space="preserve">10.1017/S0025315406014287</w:t>
        </w:r>
      </w:hyperlink>
    </w:p>
    <w:bookmarkEnd w:id="122"/>
    <w:bookmarkStart w:id="124"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3">
        <w:r>
          <w:rPr>
            <w:rStyle w:val="Hyperlink"/>
          </w:rPr>
          <w:t xml:space="preserve">10.1073/pnas.1307701110</w:t>
        </w:r>
      </w:hyperlink>
    </w:p>
    <w:bookmarkEnd w:id="124"/>
    <w:bookmarkStart w:id="126" w:name="Xd7d6b0bcb60aabcb149933a8690177800745aff"/>
    <w:p>
      <w:pPr>
        <w:pStyle w:val="Bibliography"/>
      </w:pPr>
      <w:r>
        <w:t xml:space="preserve">Guillard, R. R. L. 1975.</w:t>
      </w:r>
      <w:r>
        <w:t xml:space="preserve"> </w:t>
      </w:r>
      <w:hyperlink r:id="rId125">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26"/>
    <w:bookmarkStart w:id="127"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27"/>
    <w:bookmarkStart w:id="128"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28"/>
    <w:bookmarkStart w:id="130"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29">
        <w:r>
          <w:rPr>
            <w:rStyle w:val="Hyperlink"/>
          </w:rPr>
          <w:t xml:space="preserve">10.1038/ismej.2008.118</w:t>
        </w:r>
      </w:hyperlink>
    </w:p>
    <w:bookmarkEnd w:id="130"/>
    <w:bookmarkStart w:id="132"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1">
        <w:r>
          <w:rPr>
            <w:rStyle w:val="Hyperlink"/>
          </w:rPr>
          <w:t xml:space="preserve">10.5194/bg-8-311-2011</w:t>
        </w:r>
      </w:hyperlink>
    </w:p>
    <w:bookmarkEnd w:id="132"/>
    <w:bookmarkStart w:id="134"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3">
        <w:r>
          <w:rPr>
            <w:rStyle w:val="Hyperlink"/>
          </w:rPr>
          <w:t xml:space="preserve">10.1038/s41559-020-01330-x</w:t>
        </w:r>
      </w:hyperlink>
    </w:p>
    <w:bookmarkEnd w:id="134"/>
    <w:bookmarkStart w:id="136"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35">
        <w:r>
          <w:rPr>
            <w:rStyle w:val="Hyperlink"/>
          </w:rPr>
          <w:t xml:space="preserve">10.1086/338511</w:t>
        </w:r>
      </w:hyperlink>
    </w:p>
    <w:bookmarkEnd w:id="136"/>
    <w:bookmarkStart w:id="138"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37">
        <w:r>
          <w:rPr>
            <w:rStyle w:val="Hyperlink"/>
          </w:rPr>
          <w:t xml:space="preserve">10.1038/nclimate3147</w:t>
        </w:r>
      </w:hyperlink>
    </w:p>
    <w:bookmarkEnd w:id="138"/>
    <w:bookmarkStart w:id="140"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39">
        <w:r>
          <w:rPr>
            <w:rStyle w:val="Hyperlink"/>
          </w:rPr>
          <w:t xml:space="preserve">10.1016/j.jphotobiol.2005.10.002</w:t>
        </w:r>
      </w:hyperlink>
    </w:p>
    <w:bookmarkEnd w:id="140"/>
    <w:bookmarkStart w:id="141"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41"/>
    <w:bookmarkStart w:id="143"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42">
        <w:r>
          <w:rPr>
            <w:rStyle w:val="Hyperlink"/>
          </w:rPr>
          <w:t xml:space="preserve">10.1016/S0005-2728(98)00135-2</w:t>
        </w:r>
      </w:hyperlink>
    </w:p>
    <w:bookmarkEnd w:id="143"/>
    <w:bookmarkStart w:id="145" w:name="X0484b3dfebfaa14160c541e1fe2290095bae149"/>
    <w:p>
      <w:pPr>
        <w:pStyle w:val="Bibliography"/>
      </w:pPr>
      <w:r>
        <w:t xml:space="preserve">LaRoche, J., and B. M. Robicheau. 2022.</w:t>
      </w:r>
      <w:r>
        <w:t xml:space="preserve"> </w:t>
      </w:r>
      <w:hyperlink r:id="rId144">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5"/>
    <w:bookmarkStart w:id="147"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46">
        <w:r>
          <w:rPr>
            <w:rStyle w:val="Hyperlink"/>
          </w:rPr>
          <w:t xml:space="preserve">10.1093/plankt/fbv008</w:t>
        </w:r>
      </w:hyperlink>
    </w:p>
    <w:bookmarkEnd w:id="147"/>
    <w:bookmarkStart w:id="149" w:name="X1fa63fd480d0916fa60113cb089a7102c347762"/>
    <w:p>
      <w:pPr>
        <w:pStyle w:val="Bibliography"/>
      </w:pPr>
      <w:r>
        <w:t xml:space="preserve">Li, W. K. W. 1995.</w:t>
      </w:r>
      <w:r>
        <w:t xml:space="preserve"> </w:t>
      </w:r>
      <w:hyperlink r:id="rId148">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49"/>
    <w:bookmarkStart w:id="150"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50"/>
    <w:bookmarkStart w:id="152"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51">
        <w:r>
          <w:rPr>
            <w:rStyle w:val="Hyperlink"/>
          </w:rPr>
          <w:t xml:space="preserve">10.1016/0146-6291(78)90623-9</w:t>
        </w:r>
      </w:hyperlink>
    </w:p>
    <w:bookmarkEnd w:id="152"/>
    <w:bookmarkStart w:id="154"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53">
        <w:r>
          <w:rPr>
            <w:rStyle w:val="Hyperlink"/>
          </w:rPr>
          <w:t xml:space="preserve">10.1029/JC093iC09p10749</w:t>
        </w:r>
      </w:hyperlink>
    </w:p>
    <w:bookmarkEnd w:id="154"/>
    <w:bookmarkStart w:id="156" w:name="ref-ortmannLysogenyLyticViral2002"/>
    <w:p>
      <w:pPr>
        <w:pStyle w:val="Bibliography"/>
      </w:pPr>
      <w:r>
        <w:t xml:space="preserve">Ortmann, A. C., J. E. Lawrence, and C. A. Suttle. 2002.</w:t>
      </w:r>
      <w:r>
        <w:t xml:space="preserve"> </w:t>
      </w:r>
      <w:hyperlink r:id="rId155">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56"/>
    <w:bookmarkStart w:id="158"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57">
        <w:r>
          <w:rPr>
            <w:rStyle w:val="Hyperlink"/>
          </w:rPr>
          <w:t xml:space="preserve">10.1023/A:1005936823310</w:t>
        </w:r>
      </w:hyperlink>
    </w:p>
    <w:bookmarkEnd w:id="158"/>
    <w:bookmarkStart w:id="160"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59">
        <w:r>
          <w:rPr>
            <w:rStyle w:val="Hyperlink"/>
          </w:rPr>
          <w:t xml:space="preserve">10.4319/lom.2012.10.142</w:t>
        </w:r>
      </w:hyperlink>
    </w:p>
    <w:bookmarkEnd w:id="160"/>
    <w:bookmarkStart w:id="161"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61"/>
    <w:bookmarkStart w:id="162"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62"/>
    <w:bookmarkStart w:id="163" w:name="ref-serwayModernPhysics2004"/>
    <w:p>
      <w:pPr>
        <w:pStyle w:val="Bibliography"/>
      </w:pPr>
      <w:r>
        <w:t xml:space="preserve">Serway, R. A., C. J. Moses, and C. A. Moyer. 2004. Modern</w:t>
      </w:r>
      <w:r>
        <w:t xml:space="preserve"> </w:t>
      </w:r>
      <w:r>
        <w:t xml:space="preserve">Physics</w:t>
      </w:r>
      <w:r>
        <w:t xml:space="preserve">, Cengage Learning.</w:t>
      </w:r>
    </w:p>
    <w:bookmarkEnd w:id="163"/>
    <w:bookmarkStart w:id="165"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164">
        <w:r>
          <w:rPr>
            <w:rStyle w:val="Hyperlink"/>
          </w:rPr>
          <w:t xml:space="preserve">10.1371/journal.pone.0001341</w:t>
        </w:r>
      </w:hyperlink>
    </w:p>
    <w:bookmarkEnd w:id="165"/>
    <w:bookmarkStart w:id="167"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66">
        <w:r>
          <w:rPr>
            <w:rStyle w:val="Hyperlink"/>
          </w:rPr>
          <w:t xml:space="preserve">10.1073/pnas.2111300118</w:t>
        </w:r>
      </w:hyperlink>
    </w:p>
    <w:bookmarkEnd w:id="167"/>
    <w:bookmarkStart w:id="169" w:name="Xb08e6c3e9b838f57efffe54573ae3f42a71b21a"/>
    <w:p>
      <w:pPr>
        <w:pStyle w:val="Bibliography"/>
      </w:pPr>
      <w:r>
        <w:t xml:space="preserve">Śliwińska-Wilczewska, S., A. Cieszyńska, J. Maculewicz, and A. Latała. 2018.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68">
        <w:r>
          <w:rPr>
            <w:rStyle w:val="Hyperlink"/>
          </w:rPr>
          <w:t xml:space="preserve">10.5194/bg-15-6257-2018</w:t>
        </w:r>
      </w:hyperlink>
    </w:p>
    <w:bookmarkEnd w:id="169"/>
    <w:bookmarkStart w:id="171"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170">
        <w:r>
          <w:rPr>
            <w:rStyle w:val="Hyperlink"/>
          </w:rPr>
          <w:t xml:space="preserve">10.3390/cells9092030</w:t>
        </w:r>
      </w:hyperlink>
    </w:p>
    <w:bookmarkEnd w:id="171"/>
    <w:bookmarkStart w:id="173"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72">
        <w:r>
          <w:rPr>
            <w:rStyle w:val="Hyperlink"/>
          </w:rPr>
          <w:t xml:space="preserve">10.1134/S0026261715020150</w:t>
        </w:r>
      </w:hyperlink>
    </w:p>
    <w:bookmarkEnd w:id="173"/>
    <w:bookmarkStart w:id="175"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74">
        <w:r>
          <w:rPr>
            <w:rStyle w:val="Hyperlink"/>
          </w:rPr>
          <w:t xml:space="preserve">DOI: http://dx.doi.org/10.25607/OBP-1791</w:t>
        </w:r>
      </w:hyperlink>
    </w:p>
    <w:bookmarkEnd w:id="175"/>
    <w:bookmarkStart w:id="176"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176"/>
    <w:bookmarkStart w:id="178"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177">
        <w:r>
          <w:rPr>
            <w:rStyle w:val="Hyperlink"/>
          </w:rPr>
          <w:t xml:space="preserve">10.1111/j.1365-2427.2008.02119.x</w:t>
        </w:r>
      </w:hyperlink>
    </w:p>
    <w:bookmarkEnd w:id="178"/>
    <w:bookmarkStart w:id="180" w:name="ref-tortellUserGuideApplication2021"/>
    <w:p>
      <w:pPr>
        <w:pStyle w:val="Bibliography"/>
      </w:pPr>
      <w:r>
        <w:t xml:space="preserve">Tortell, P., D. J. Suggett, and S. W. Group156. 2021.</w:t>
      </w:r>
      <w:r>
        <w:t xml:space="preserve"> </w:t>
      </w:r>
      <w:hyperlink r:id="rId179">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180"/>
    <w:bookmarkStart w:id="182"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181">
        <w:r>
          <w:rPr>
            <w:rStyle w:val="Hyperlink"/>
          </w:rPr>
          <w:t xml:space="preserve">10.1029/1999JC000308</w:t>
        </w:r>
      </w:hyperlink>
    </w:p>
    <w:bookmarkEnd w:id="182"/>
    <w:bookmarkStart w:id="184" w:name="ref-wickhamDataAnalysis2016"/>
    <w:p>
      <w:pPr>
        <w:pStyle w:val="Bibliography"/>
      </w:pPr>
      <w:r>
        <w:t xml:space="preserve">Wickham, H. 2016.</w:t>
      </w:r>
      <w:r>
        <w:t xml:space="preserve"> </w:t>
      </w:r>
      <w:hyperlink r:id="rId183">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184"/>
    <w:bookmarkStart w:id="186"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185">
        <w:r>
          <w:rPr>
            <w:rStyle w:val="Hyperlink"/>
          </w:rPr>
          <w:t xml:space="preserve">10.1016/j.rse.2020.111704</w:t>
        </w:r>
      </w:hyperlink>
    </w:p>
    <w:bookmarkEnd w:id="186"/>
    <w:bookmarkStart w:id="188"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187">
        <w:r>
          <w:rPr>
            <w:rStyle w:val="Hyperlink"/>
          </w:rPr>
          <w:t xml:space="preserve">10.1016/j.bbabio.2017.03.003</w:t>
        </w:r>
      </w:hyperlink>
    </w:p>
    <w:bookmarkEnd w:id="188"/>
    <w:bookmarkStart w:id="190"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189">
        <w:r>
          <w:rPr>
            <w:rStyle w:val="Hyperlink"/>
          </w:rPr>
          <w:t xml:space="preserve">10.3389/fmars.2018.00281</w:t>
        </w:r>
      </w:hyperlink>
    </w:p>
    <w:bookmarkEnd w:id="190"/>
    <w:bookmarkEnd w:id="191"/>
    <w:bookmarkEnd w:id="192"/>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64" Target="media/rId64.png" /><Relationship Type="http://schemas.openxmlformats.org/officeDocument/2006/relationships/image" Id="rId45" Target="media/rId45.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hyperlink" Id="rId174"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5" Target="https://docs.google.com/spreadsheets/d/1EvogE5pFlGT9H304E3dqXKwh26dWI9r_snSPhZCHWiU/edit#gid=0" TargetMode="External" /><Relationship Type="http://schemas.openxmlformats.org/officeDocument/2006/relationships/hyperlink" Id="rId83" Target="https://docs.google.com/spreadsheets/d/1ZXpwR7Gfto-uRzVdXzMpQF4frbrvMLH_IyLqonFZRSw/edit#gid=0" TargetMode="External" /><Relationship Type="http://schemas.openxmlformats.org/officeDocument/2006/relationships/hyperlink" Id="rId86" Target="https://docs.google.com/spreadsheets/d/1cfyxO1bFSeEMlMnx1vAyuskk3Un_bqkE9-uUSc-jwhE/edit#gid=0" TargetMode="External" /><Relationship Type="http://schemas.openxmlformats.org/officeDocument/2006/relationships/hyperlink" Id="rId84" Target="https://docs.google.com/spreadsheets/d/1ksY7xlg9wOsICOBRmZkHPKdd9KOislNwPDzyuJ3UIUI/edit#gid=0" TargetMode="External" /><Relationship Type="http://schemas.openxmlformats.org/officeDocument/2006/relationships/hyperlink" Id="rId125" Target="https://doi.org/10.1007/978-1-4615-8714-9_3" TargetMode="External" /><Relationship Type="http://schemas.openxmlformats.org/officeDocument/2006/relationships/hyperlink" Id="rId144" Target="https://doi.org/10.1007/978-3-030-90383-1_9" TargetMode="External" /><Relationship Type="http://schemas.openxmlformats.org/officeDocument/2006/relationships/hyperlink" Id="rId183" Target="https://doi.org/10.1007/978-3-319-24277-4_9" TargetMode="External" /><Relationship Type="http://schemas.openxmlformats.org/officeDocument/2006/relationships/hyperlink" Id="rId105" Target="https://doi.org/10.1007/978-81-322-2610-9_4" TargetMode="External" /><Relationship Type="http://schemas.openxmlformats.org/officeDocument/2006/relationships/hyperlink" Id="rId95" Target="https://doi.org/10.1007/978-94-011-0227-8_17" TargetMode="External" /><Relationship Type="http://schemas.openxmlformats.org/officeDocument/2006/relationships/hyperlink" Id="rId111" Target="https://doi.org/10.1007/s10812-020-00944-0" TargetMode="External" /><Relationship Type="http://schemas.openxmlformats.org/officeDocument/2006/relationships/hyperlink" Id="rId151" Target="https://doi.org/10.1016/0146-6291(78)90623-9" TargetMode="External" /><Relationship Type="http://schemas.openxmlformats.org/officeDocument/2006/relationships/hyperlink" Id="rId142" Target="https://doi.org/10.1016/S0005-2728(98)00135-2" TargetMode="External" /><Relationship Type="http://schemas.openxmlformats.org/officeDocument/2006/relationships/hyperlink" Id="rId187" Target="https://doi.org/10.1016/j.bbabio.2017.03.003" TargetMode="External" /><Relationship Type="http://schemas.openxmlformats.org/officeDocument/2006/relationships/hyperlink" Id="rId139" Target="https://doi.org/10.1016/j.jphotobiol.2005.10.002" TargetMode="External" /><Relationship Type="http://schemas.openxmlformats.org/officeDocument/2006/relationships/hyperlink" Id="rId185" Target="https://doi.org/10.1016/j.rse.2020.111704" TargetMode="External" /><Relationship Type="http://schemas.openxmlformats.org/officeDocument/2006/relationships/hyperlink" Id="rId121" Target="https://doi.org/10.1017/S0025315406014287" TargetMode="External" /><Relationship Type="http://schemas.openxmlformats.org/officeDocument/2006/relationships/hyperlink" Id="rId157" Target="https://doi.org/10.1023/A:1005936823310" TargetMode="External" /><Relationship Type="http://schemas.openxmlformats.org/officeDocument/2006/relationships/hyperlink" Id="rId181" Target="https://doi.org/10.1029/1999JC000308" TargetMode="External" /><Relationship Type="http://schemas.openxmlformats.org/officeDocument/2006/relationships/hyperlink" Id="rId153" Target="https://doi.org/10.1029/JC093iC09p10749" TargetMode="External" /><Relationship Type="http://schemas.openxmlformats.org/officeDocument/2006/relationships/hyperlink" Id="rId91" Target="https://doi.org/10.1038/284481a0" TargetMode="External" /><Relationship Type="http://schemas.openxmlformats.org/officeDocument/2006/relationships/hyperlink" Id="rId129" Target="https://doi.org/10.1038/ismej.2008.118" TargetMode="External" /><Relationship Type="http://schemas.openxmlformats.org/officeDocument/2006/relationships/hyperlink" Id="rId97" Target="https://doi.org/10.1038/nature05317" TargetMode="External" /><Relationship Type="http://schemas.openxmlformats.org/officeDocument/2006/relationships/hyperlink" Id="rId137" Target="https://doi.org/10.1038/nclimate3147" TargetMode="External" /><Relationship Type="http://schemas.openxmlformats.org/officeDocument/2006/relationships/hyperlink" Id="rId133" Target="https://doi.org/10.1038/s41559-020-01330-x" TargetMode="External" /><Relationship Type="http://schemas.openxmlformats.org/officeDocument/2006/relationships/hyperlink" Id="rId123" Target="https://doi.org/10.1073/pnas.1307701110" TargetMode="External" /><Relationship Type="http://schemas.openxmlformats.org/officeDocument/2006/relationships/hyperlink" Id="rId166" Target="https://doi.org/10.1073/pnas.2111300118" TargetMode="External" /><Relationship Type="http://schemas.openxmlformats.org/officeDocument/2006/relationships/hyperlink" Id="rId99" Target="https://doi.org/10.1083/jcb.58.2.419" TargetMode="External" /><Relationship Type="http://schemas.openxmlformats.org/officeDocument/2006/relationships/hyperlink" Id="rId135" Target="https://doi.org/10.1086/338511" TargetMode="External" /><Relationship Type="http://schemas.openxmlformats.org/officeDocument/2006/relationships/hyperlink" Id="rId146" Target="https://doi.org/10.1093/plankt/fbv008" TargetMode="External" /><Relationship Type="http://schemas.openxmlformats.org/officeDocument/2006/relationships/hyperlink" Id="rId89" Target="https://doi.org/10.1111/1462-2920.16384" TargetMode="External" /><Relationship Type="http://schemas.openxmlformats.org/officeDocument/2006/relationships/hyperlink" Id="rId177" Target="https://doi.org/10.1111/j.1365-2427.2008.02119.x" TargetMode="External" /><Relationship Type="http://schemas.openxmlformats.org/officeDocument/2006/relationships/hyperlink" Id="rId107" Target="https://doi.org/10.1111/nph.17903" TargetMode="External" /><Relationship Type="http://schemas.openxmlformats.org/officeDocument/2006/relationships/hyperlink" Id="rId119" Target="https://doi.org/10.1126/science.281.5374.237" TargetMode="External" /><Relationship Type="http://schemas.openxmlformats.org/officeDocument/2006/relationships/hyperlink" Id="rId117" Target="https://doi.org/10.1126/science.290.5490.291" TargetMode="External" /><Relationship Type="http://schemas.openxmlformats.org/officeDocument/2006/relationships/hyperlink" Id="rId172" Target="https://doi.org/10.1134/S0026261715020150" TargetMode="External" /><Relationship Type="http://schemas.openxmlformats.org/officeDocument/2006/relationships/hyperlink" Id="rId93" Target="https://doi.org/10.1146/annurev-marine-010213-135103" TargetMode="External" /><Relationship Type="http://schemas.openxmlformats.org/officeDocument/2006/relationships/hyperlink" Id="rId113" Target="https://doi.org/10.1186/gb-2008-9-5-r90" TargetMode="External" /><Relationship Type="http://schemas.openxmlformats.org/officeDocument/2006/relationships/hyperlink" Id="rId164" Target="https://doi.org/10.1371/journal.pone.0001341" TargetMode="External" /><Relationship Type="http://schemas.openxmlformats.org/officeDocument/2006/relationships/hyperlink" Id="rId179" Target="https://doi.org/10.25607/OBP-1084" TargetMode="External" /><Relationship Type="http://schemas.openxmlformats.org/officeDocument/2006/relationships/hyperlink" Id="rId189" Target="https://doi.org/10.3389/fmars.2018.00281" TargetMode="External" /><Relationship Type="http://schemas.openxmlformats.org/officeDocument/2006/relationships/hyperlink" Id="rId102" Target="https://doi.org/10.3389/fmars.2019.00319" TargetMode="External" /><Relationship Type="http://schemas.openxmlformats.org/officeDocument/2006/relationships/hyperlink" Id="rId170" Target="https://doi.org/10.3390/cells9092030" TargetMode="External" /><Relationship Type="http://schemas.openxmlformats.org/officeDocument/2006/relationships/hyperlink" Id="rId109" Target="https://doi.org/10.4319/lo.1999.44.1.0052" TargetMode="External" /><Relationship Type="http://schemas.openxmlformats.org/officeDocument/2006/relationships/hyperlink" Id="rId159" Target="https://doi.org/10.4319/lom.2012.10.142" TargetMode="External" /><Relationship Type="http://schemas.openxmlformats.org/officeDocument/2006/relationships/hyperlink" Id="rId168" Target="https://doi.org/10.5194/bg-15-6257-2018" TargetMode="External" /><Relationship Type="http://schemas.openxmlformats.org/officeDocument/2006/relationships/hyperlink" Id="rId131" Target="https://doi.org/10.5194/bg-8-311-2011" TargetMode="External" /><Relationship Type="http://schemas.openxmlformats.org/officeDocument/2006/relationships/hyperlink" Id="rId148" Target="https://www.jstor.org/stable/24852252" TargetMode="External" /><Relationship Type="http://schemas.openxmlformats.org/officeDocument/2006/relationships/hyperlink" Id="rId155"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74"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5" Target="https://docs.google.com/spreadsheets/d/1EvogE5pFlGT9H304E3dqXKwh26dWI9r_snSPhZCHWiU/edit#gid=0" TargetMode="External" /><Relationship Type="http://schemas.openxmlformats.org/officeDocument/2006/relationships/hyperlink" Id="rId83" Target="https://docs.google.com/spreadsheets/d/1ZXpwR7Gfto-uRzVdXzMpQF4frbrvMLH_IyLqonFZRSw/edit#gid=0" TargetMode="External" /><Relationship Type="http://schemas.openxmlformats.org/officeDocument/2006/relationships/hyperlink" Id="rId86" Target="https://docs.google.com/spreadsheets/d/1cfyxO1bFSeEMlMnx1vAyuskk3Un_bqkE9-uUSc-jwhE/edit#gid=0" TargetMode="External" /><Relationship Type="http://schemas.openxmlformats.org/officeDocument/2006/relationships/hyperlink" Id="rId84" Target="https://docs.google.com/spreadsheets/d/1ksY7xlg9wOsICOBRmZkHPKdd9KOislNwPDzyuJ3UIUI/edit#gid=0" TargetMode="External" /><Relationship Type="http://schemas.openxmlformats.org/officeDocument/2006/relationships/hyperlink" Id="rId125" Target="https://doi.org/10.1007/978-1-4615-8714-9_3" TargetMode="External" /><Relationship Type="http://schemas.openxmlformats.org/officeDocument/2006/relationships/hyperlink" Id="rId144" Target="https://doi.org/10.1007/978-3-030-90383-1_9" TargetMode="External" /><Relationship Type="http://schemas.openxmlformats.org/officeDocument/2006/relationships/hyperlink" Id="rId183" Target="https://doi.org/10.1007/978-3-319-24277-4_9" TargetMode="External" /><Relationship Type="http://schemas.openxmlformats.org/officeDocument/2006/relationships/hyperlink" Id="rId105" Target="https://doi.org/10.1007/978-81-322-2610-9_4" TargetMode="External" /><Relationship Type="http://schemas.openxmlformats.org/officeDocument/2006/relationships/hyperlink" Id="rId95" Target="https://doi.org/10.1007/978-94-011-0227-8_17" TargetMode="External" /><Relationship Type="http://schemas.openxmlformats.org/officeDocument/2006/relationships/hyperlink" Id="rId111" Target="https://doi.org/10.1007/s10812-020-00944-0" TargetMode="External" /><Relationship Type="http://schemas.openxmlformats.org/officeDocument/2006/relationships/hyperlink" Id="rId151" Target="https://doi.org/10.1016/0146-6291(78)90623-9" TargetMode="External" /><Relationship Type="http://schemas.openxmlformats.org/officeDocument/2006/relationships/hyperlink" Id="rId142" Target="https://doi.org/10.1016/S0005-2728(98)00135-2" TargetMode="External" /><Relationship Type="http://schemas.openxmlformats.org/officeDocument/2006/relationships/hyperlink" Id="rId187" Target="https://doi.org/10.1016/j.bbabio.2017.03.003" TargetMode="External" /><Relationship Type="http://schemas.openxmlformats.org/officeDocument/2006/relationships/hyperlink" Id="rId139" Target="https://doi.org/10.1016/j.jphotobiol.2005.10.002" TargetMode="External" /><Relationship Type="http://schemas.openxmlformats.org/officeDocument/2006/relationships/hyperlink" Id="rId185" Target="https://doi.org/10.1016/j.rse.2020.111704" TargetMode="External" /><Relationship Type="http://schemas.openxmlformats.org/officeDocument/2006/relationships/hyperlink" Id="rId121" Target="https://doi.org/10.1017/S0025315406014287" TargetMode="External" /><Relationship Type="http://schemas.openxmlformats.org/officeDocument/2006/relationships/hyperlink" Id="rId157" Target="https://doi.org/10.1023/A:1005936823310" TargetMode="External" /><Relationship Type="http://schemas.openxmlformats.org/officeDocument/2006/relationships/hyperlink" Id="rId181" Target="https://doi.org/10.1029/1999JC000308" TargetMode="External" /><Relationship Type="http://schemas.openxmlformats.org/officeDocument/2006/relationships/hyperlink" Id="rId153" Target="https://doi.org/10.1029/JC093iC09p10749" TargetMode="External" /><Relationship Type="http://schemas.openxmlformats.org/officeDocument/2006/relationships/hyperlink" Id="rId91" Target="https://doi.org/10.1038/284481a0" TargetMode="External" /><Relationship Type="http://schemas.openxmlformats.org/officeDocument/2006/relationships/hyperlink" Id="rId129" Target="https://doi.org/10.1038/ismej.2008.118" TargetMode="External" /><Relationship Type="http://schemas.openxmlformats.org/officeDocument/2006/relationships/hyperlink" Id="rId97" Target="https://doi.org/10.1038/nature05317" TargetMode="External" /><Relationship Type="http://schemas.openxmlformats.org/officeDocument/2006/relationships/hyperlink" Id="rId137" Target="https://doi.org/10.1038/nclimate3147" TargetMode="External" /><Relationship Type="http://schemas.openxmlformats.org/officeDocument/2006/relationships/hyperlink" Id="rId133" Target="https://doi.org/10.1038/s41559-020-01330-x" TargetMode="External" /><Relationship Type="http://schemas.openxmlformats.org/officeDocument/2006/relationships/hyperlink" Id="rId123" Target="https://doi.org/10.1073/pnas.1307701110" TargetMode="External" /><Relationship Type="http://schemas.openxmlformats.org/officeDocument/2006/relationships/hyperlink" Id="rId166" Target="https://doi.org/10.1073/pnas.2111300118" TargetMode="External" /><Relationship Type="http://schemas.openxmlformats.org/officeDocument/2006/relationships/hyperlink" Id="rId99" Target="https://doi.org/10.1083/jcb.58.2.419" TargetMode="External" /><Relationship Type="http://schemas.openxmlformats.org/officeDocument/2006/relationships/hyperlink" Id="rId135" Target="https://doi.org/10.1086/338511" TargetMode="External" /><Relationship Type="http://schemas.openxmlformats.org/officeDocument/2006/relationships/hyperlink" Id="rId146" Target="https://doi.org/10.1093/plankt/fbv008" TargetMode="External" /><Relationship Type="http://schemas.openxmlformats.org/officeDocument/2006/relationships/hyperlink" Id="rId89" Target="https://doi.org/10.1111/1462-2920.16384" TargetMode="External" /><Relationship Type="http://schemas.openxmlformats.org/officeDocument/2006/relationships/hyperlink" Id="rId177" Target="https://doi.org/10.1111/j.1365-2427.2008.02119.x" TargetMode="External" /><Relationship Type="http://schemas.openxmlformats.org/officeDocument/2006/relationships/hyperlink" Id="rId107" Target="https://doi.org/10.1111/nph.17903" TargetMode="External" /><Relationship Type="http://schemas.openxmlformats.org/officeDocument/2006/relationships/hyperlink" Id="rId119" Target="https://doi.org/10.1126/science.281.5374.237" TargetMode="External" /><Relationship Type="http://schemas.openxmlformats.org/officeDocument/2006/relationships/hyperlink" Id="rId117" Target="https://doi.org/10.1126/science.290.5490.291" TargetMode="External" /><Relationship Type="http://schemas.openxmlformats.org/officeDocument/2006/relationships/hyperlink" Id="rId172" Target="https://doi.org/10.1134/S0026261715020150" TargetMode="External" /><Relationship Type="http://schemas.openxmlformats.org/officeDocument/2006/relationships/hyperlink" Id="rId93" Target="https://doi.org/10.1146/annurev-marine-010213-135103" TargetMode="External" /><Relationship Type="http://schemas.openxmlformats.org/officeDocument/2006/relationships/hyperlink" Id="rId113" Target="https://doi.org/10.1186/gb-2008-9-5-r90" TargetMode="External" /><Relationship Type="http://schemas.openxmlformats.org/officeDocument/2006/relationships/hyperlink" Id="rId164" Target="https://doi.org/10.1371/journal.pone.0001341" TargetMode="External" /><Relationship Type="http://schemas.openxmlformats.org/officeDocument/2006/relationships/hyperlink" Id="rId179" Target="https://doi.org/10.25607/OBP-1084" TargetMode="External" /><Relationship Type="http://schemas.openxmlformats.org/officeDocument/2006/relationships/hyperlink" Id="rId189" Target="https://doi.org/10.3389/fmars.2018.00281" TargetMode="External" /><Relationship Type="http://schemas.openxmlformats.org/officeDocument/2006/relationships/hyperlink" Id="rId102" Target="https://doi.org/10.3389/fmars.2019.00319" TargetMode="External" /><Relationship Type="http://schemas.openxmlformats.org/officeDocument/2006/relationships/hyperlink" Id="rId170" Target="https://doi.org/10.3390/cells9092030" TargetMode="External" /><Relationship Type="http://schemas.openxmlformats.org/officeDocument/2006/relationships/hyperlink" Id="rId109" Target="https://doi.org/10.4319/lo.1999.44.1.0052" TargetMode="External" /><Relationship Type="http://schemas.openxmlformats.org/officeDocument/2006/relationships/hyperlink" Id="rId159" Target="https://doi.org/10.4319/lom.2012.10.142" TargetMode="External" /><Relationship Type="http://schemas.openxmlformats.org/officeDocument/2006/relationships/hyperlink" Id="rId168" Target="https://doi.org/10.5194/bg-15-6257-2018" TargetMode="External" /><Relationship Type="http://schemas.openxmlformats.org/officeDocument/2006/relationships/hyperlink" Id="rId131" Target="https://doi.org/10.5194/bg-8-311-2011" TargetMode="External" /><Relationship Type="http://schemas.openxmlformats.org/officeDocument/2006/relationships/hyperlink" Id="rId148" Target="https://www.jstor.org/stable/24852252" TargetMode="External" /><Relationship Type="http://schemas.openxmlformats.org/officeDocument/2006/relationships/hyperlink" Id="rId155"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2024-03-22T01:01:55Z</dcterms:created>
  <dcterms:modified xsi:type="dcterms:W3CDTF">2024-03-22T01:01:55Z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